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val="en-US" w:eastAsia="zh-CN"/>
        </w:rPr>
      </w:pPr>
      <w:r>
        <w:rPr>
          <w:rFonts w:hint="eastAsia"/>
          <w:b/>
          <w:bCs/>
          <w:sz w:val="32"/>
          <w:szCs w:val="32"/>
          <w:lang w:val="en-US" w:eastAsia="zh-CN"/>
        </w:rPr>
        <w:t>审计学期末考试试卷（C卷）</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
        <w:gridCol w:w="908"/>
        <w:gridCol w:w="903"/>
        <w:gridCol w:w="903"/>
        <w:gridCol w:w="905"/>
        <w:gridCol w:w="1065"/>
        <w:gridCol w:w="1099"/>
        <w:gridCol w:w="1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30"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题号</w:t>
            </w:r>
          </w:p>
        </w:tc>
        <w:tc>
          <w:tcPr>
            <w:tcW w:w="533"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一</w:t>
            </w:r>
          </w:p>
        </w:tc>
        <w:tc>
          <w:tcPr>
            <w:tcW w:w="530"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二</w:t>
            </w:r>
          </w:p>
        </w:tc>
        <w:tc>
          <w:tcPr>
            <w:tcW w:w="530"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三</w:t>
            </w:r>
          </w:p>
        </w:tc>
        <w:tc>
          <w:tcPr>
            <w:tcW w:w="531"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四</w:t>
            </w:r>
          </w:p>
        </w:tc>
        <w:tc>
          <w:tcPr>
            <w:tcW w:w="625"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五</w:t>
            </w:r>
          </w:p>
        </w:tc>
        <w:tc>
          <w:tcPr>
            <w:tcW w:w="645" w:type="pct"/>
            <w:noWrap w:val="0"/>
            <w:vAlign w:val="center"/>
          </w:tcPr>
          <w:p>
            <w:pPr>
              <w:spacing w:before="124" w:beforeLines="40" w:after="124" w:afterLines="40"/>
              <w:ind w:left="-107" w:leftChars="-51" w:right="-82" w:rightChars="-39"/>
              <w:jc w:val="center"/>
              <w:rPr>
                <w:rFonts w:hint="eastAsia" w:ascii="宋体" w:hAnsi="宋体" w:eastAsiaTheme="minorEastAsia"/>
                <w:color w:val="auto"/>
                <w:sz w:val="24"/>
                <w:highlight w:val="none"/>
                <w:lang w:val="en-US" w:eastAsia="zh-CN"/>
              </w:rPr>
            </w:pPr>
            <w:r>
              <w:rPr>
                <w:rFonts w:hint="eastAsia" w:ascii="宋体" w:hAnsi="宋体"/>
                <w:color w:val="auto"/>
                <w:sz w:val="24"/>
                <w:highlight w:val="none"/>
                <w:lang w:val="en-US" w:eastAsia="zh-CN"/>
              </w:rPr>
              <w:t>六</w:t>
            </w:r>
          </w:p>
        </w:tc>
        <w:tc>
          <w:tcPr>
            <w:tcW w:w="1074"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530"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题分</w:t>
            </w:r>
          </w:p>
        </w:tc>
        <w:tc>
          <w:tcPr>
            <w:tcW w:w="533" w:type="pct"/>
            <w:noWrap w:val="0"/>
            <w:vAlign w:val="center"/>
          </w:tcPr>
          <w:p>
            <w:pPr>
              <w:spacing w:before="124" w:beforeLines="40" w:after="124" w:afterLines="40"/>
              <w:ind w:left="-107" w:leftChars="-51" w:right="-82" w:rightChars="-39"/>
              <w:jc w:val="center"/>
              <w:rPr>
                <w:rFonts w:hint="default" w:ascii="宋体" w:hAnsi="宋体" w:eastAsia="宋体" w:cstheme="minorBidi"/>
                <w:color w:val="auto"/>
                <w:kern w:val="2"/>
                <w:sz w:val="24"/>
                <w:szCs w:val="24"/>
                <w:lang w:val="en-US" w:eastAsia="zh-CN" w:bidi="ar-SA"/>
              </w:rPr>
            </w:pPr>
            <w:r>
              <w:rPr>
                <w:rFonts w:hint="eastAsia" w:ascii="宋体" w:hAnsi="宋体"/>
                <w:color w:val="auto"/>
                <w:sz w:val="24"/>
                <w:szCs w:val="24"/>
                <w:lang w:val="en-US" w:eastAsia="zh-CN"/>
              </w:rPr>
              <w:t>5</w:t>
            </w:r>
          </w:p>
        </w:tc>
        <w:tc>
          <w:tcPr>
            <w:tcW w:w="530" w:type="pct"/>
            <w:noWrap w:val="0"/>
            <w:vAlign w:val="center"/>
          </w:tcPr>
          <w:p>
            <w:pPr>
              <w:spacing w:before="124" w:beforeLines="40" w:after="124" w:afterLines="40"/>
              <w:ind w:left="-107" w:leftChars="-51" w:right="-82" w:rightChars="-39"/>
              <w:jc w:val="center"/>
              <w:rPr>
                <w:rFonts w:hint="default" w:ascii="宋体" w:hAnsi="宋体" w:eastAsiaTheme="minorEastAsia" w:cstheme="minorBidi"/>
                <w:color w:val="auto"/>
                <w:kern w:val="2"/>
                <w:sz w:val="24"/>
                <w:szCs w:val="24"/>
                <w:lang w:val="en-US" w:eastAsia="zh-CN" w:bidi="ar-SA"/>
              </w:rPr>
            </w:pPr>
            <w:r>
              <w:rPr>
                <w:rFonts w:hint="eastAsia" w:ascii="宋体" w:hAnsi="宋体"/>
                <w:color w:val="auto"/>
                <w:sz w:val="24"/>
                <w:szCs w:val="24"/>
              </w:rPr>
              <w:t>20</w:t>
            </w:r>
          </w:p>
        </w:tc>
        <w:tc>
          <w:tcPr>
            <w:tcW w:w="530" w:type="pct"/>
            <w:noWrap w:val="0"/>
            <w:vAlign w:val="center"/>
          </w:tcPr>
          <w:p>
            <w:pPr>
              <w:spacing w:before="124" w:beforeLines="40" w:after="124" w:afterLines="40"/>
              <w:ind w:left="-107" w:leftChars="-51" w:right="-82" w:rightChars="-39"/>
              <w:jc w:val="center"/>
              <w:rPr>
                <w:rFonts w:hint="default" w:ascii="宋体" w:hAnsi="宋体" w:eastAsia="宋体" w:cstheme="minorBidi"/>
                <w:color w:val="auto"/>
                <w:kern w:val="2"/>
                <w:sz w:val="24"/>
                <w:szCs w:val="24"/>
                <w:lang w:val="en-US" w:eastAsia="zh-CN" w:bidi="ar-SA"/>
              </w:rPr>
            </w:pPr>
            <w:r>
              <w:rPr>
                <w:rFonts w:hint="eastAsia" w:ascii="宋体" w:hAnsi="宋体"/>
                <w:color w:val="auto"/>
                <w:sz w:val="24"/>
                <w:szCs w:val="24"/>
              </w:rPr>
              <w:t>1</w:t>
            </w:r>
            <w:r>
              <w:rPr>
                <w:rFonts w:hint="eastAsia" w:ascii="宋体" w:hAnsi="宋体"/>
                <w:color w:val="auto"/>
                <w:sz w:val="24"/>
                <w:szCs w:val="24"/>
                <w:lang w:val="en-US" w:eastAsia="zh-CN"/>
              </w:rPr>
              <w:t>0</w:t>
            </w:r>
          </w:p>
        </w:tc>
        <w:tc>
          <w:tcPr>
            <w:tcW w:w="531" w:type="pct"/>
            <w:noWrap w:val="0"/>
            <w:vAlign w:val="center"/>
          </w:tcPr>
          <w:p>
            <w:pPr>
              <w:spacing w:before="124" w:beforeLines="40" w:after="124" w:afterLines="40"/>
              <w:ind w:left="-107" w:leftChars="-51" w:right="-82" w:rightChars="-39"/>
              <w:jc w:val="center"/>
              <w:rPr>
                <w:rFonts w:hint="default" w:ascii="宋体" w:hAnsi="宋体" w:eastAsia="宋体" w:cstheme="minorBidi"/>
                <w:color w:val="auto"/>
                <w:kern w:val="2"/>
                <w:sz w:val="24"/>
                <w:szCs w:val="24"/>
                <w:lang w:val="en-US" w:eastAsia="zh-CN" w:bidi="ar-SA"/>
              </w:rPr>
            </w:pPr>
            <w:r>
              <w:rPr>
                <w:rFonts w:hint="eastAsia" w:ascii="宋体" w:hAnsi="宋体"/>
                <w:color w:val="auto"/>
                <w:sz w:val="24"/>
                <w:szCs w:val="24"/>
                <w:lang w:val="en-US" w:eastAsia="zh-CN"/>
              </w:rPr>
              <w:t>17</w:t>
            </w:r>
          </w:p>
        </w:tc>
        <w:tc>
          <w:tcPr>
            <w:tcW w:w="625" w:type="pct"/>
            <w:noWrap w:val="0"/>
            <w:vAlign w:val="center"/>
          </w:tcPr>
          <w:p>
            <w:pPr>
              <w:spacing w:before="124" w:beforeLines="40" w:after="124" w:afterLines="40"/>
              <w:ind w:left="-107" w:leftChars="-51" w:right="-82" w:rightChars="-39"/>
              <w:jc w:val="center"/>
              <w:rPr>
                <w:rFonts w:hint="default" w:ascii="宋体" w:hAnsi="宋体" w:eastAsia="宋体" w:cstheme="minorBidi"/>
                <w:color w:val="auto"/>
                <w:kern w:val="2"/>
                <w:sz w:val="24"/>
                <w:szCs w:val="24"/>
                <w:lang w:val="en-US" w:eastAsia="zh-CN" w:bidi="ar-SA"/>
              </w:rPr>
            </w:pPr>
            <w:r>
              <w:rPr>
                <w:rFonts w:hint="eastAsia" w:ascii="宋体" w:hAnsi="宋体"/>
                <w:color w:val="auto"/>
                <w:sz w:val="24"/>
                <w:szCs w:val="24"/>
                <w:lang w:val="en-US" w:eastAsia="zh-CN"/>
              </w:rPr>
              <w:t>10</w:t>
            </w:r>
          </w:p>
        </w:tc>
        <w:tc>
          <w:tcPr>
            <w:tcW w:w="645" w:type="pct"/>
            <w:noWrap w:val="0"/>
            <w:vAlign w:val="center"/>
          </w:tcPr>
          <w:p>
            <w:pPr>
              <w:spacing w:before="124" w:beforeLines="40" w:after="124" w:afterLines="40"/>
              <w:ind w:left="-107" w:leftChars="-51" w:right="-82" w:rightChars="-39"/>
              <w:jc w:val="center"/>
              <w:rPr>
                <w:rFonts w:hint="eastAsia" w:ascii="宋体" w:hAnsi="宋体" w:eastAsia="宋体" w:cstheme="minorBidi"/>
                <w:color w:val="auto"/>
                <w:kern w:val="2"/>
                <w:sz w:val="24"/>
                <w:szCs w:val="24"/>
                <w:lang w:val="en-US" w:eastAsia="zh-CN" w:bidi="ar-SA"/>
              </w:rPr>
            </w:pPr>
            <w:r>
              <w:rPr>
                <w:rFonts w:hint="eastAsia" w:ascii="宋体" w:hAnsi="宋体"/>
                <w:color w:val="auto"/>
                <w:sz w:val="24"/>
                <w:szCs w:val="24"/>
                <w:lang w:val="en-US" w:eastAsia="zh-CN"/>
              </w:rPr>
              <w:t>38</w:t>
            </w:r>
          </w:p>
        </w:tc>
        <w:tc>
          <w:tcPr>
            <w:tcW w:w="1074" w:type="pct"/>
            <w:noWrap w:val="0"/>
            <w:vAlign w:val="center"/>
          </w:tcPr>
          <w:p>
            <w:pPr>
              <w:spacing w:before="124" w:beforeLines="40" w:after="124" w:afterLines="40"/>
              <w:ind w:left="-107" w:leftChars="-51" w:right="-82" w:rightChars="-39"/>
              <w:jc w:val="center"/>
              <w:rPr>
                <w:rFonts w:ascii="宋体" w:hAnsi="宋体"/>
                <w:color w:val="auto"/>
                <w:sz w:val="24"/>
                <w:highlight w:val="none"/>
              </w:rPr>
            </w:pPr>
            <w:r>
              <w:rPr>
                <w:rFonts w:hint="eastAsia" w:ascii="宋体" w:hAnsi="宋体"/>
                <w:color w:val="auto"/>
                <w:sz w:val="24"/>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530"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得分</w:t>
            </w:r>
          </w:p>
        </w:tc>
        <w:tc>
          <w:tcPr>
            <w:tcW w:w="533"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c>
          <w:tcPr>
            <w:tcW w:w="530"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c>
          <w:tcPr>
            <w:tcW w:w="530"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c>
          <w:tcPr>
            <w:tcW w:w="531"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c>
          <w:tcPr>
            <w:tcW w:w="625"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c>
          <w:tcPr>
            <w:tcW w:w="645"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c>
          <w:tcPr>
            <w:tcW w:w="1074"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r>
    </w:tbl>
    <w:p/>
    <w:p>
      <w:pPr>
        <w:rPr>
          <w:rFonts w:ascii="宋体" w:hAnsi="宋体"/>
          <w:color w:val="auto"/>
          <w:sz w:val="24"/>
        </w:rPr>
      </w:pPr>
      <w:r>
        <w:rPr>
          <w:rFonts w:hint="eastAsia" w:ascii="宋体" w:hAnsi="宋体" w:cs="宋体"/>
          <w:b/>
          <w:color w:val="auto"/>
        </w:rPr>
        <w:t>一、判断题（判断正误，判断以下论述的正误，认为正确的就在答题相应位置划“√”，错误的划“×”。每小题1分，共计</w:t>
      </w:r>
      <w:r>
        <w:rPr>
          <w:rFonts w:hint="eastAsia" w:ascii="宋体" w:hAnsi="宋体" w:cs="宋体"/>
          <w:b/>
          <w:color w:val="auto"/>
          <w:lang w:val="en-US" w:eastAsia="zh-CN"/>
        </w:rPr>
        <w:t>5</w:t>
      </w:r>
      <w:r>
        <w:rPr>
          <w:rFonts w:hint="eastAsia" w:ascii="宋体" w:hAnsi="宋体" w:cs="宋体"/>
          <w:b/>
          <w:color w:val="auto"/>
        </w:rPr>
        <w:t>分）</w:t>
      </w:r>
    </w:p>
    <w:p>
      <w:pPr>
        <w:jc w:val="left"/>
        <w:rPr>
          <w:rFonts w:ascii="宋体" w:hAnsi="宋体"/>
          <w:color w:val="auto"/>
          <w:szCs w:val="21"/>
        </w:rPr>
      </w:pPr>
      <w:r>
        <w:rPr>
          <w:rFonts w:hint="eastAsia" w:ascii="宋体" w:hAnsi="宋体"/>
          <w:color w:val="auto"/>
          <w:szCs w:val="21"/>
        </w:rPr>
        <w:t xml:space="preserve">1. </w:t>
      </w:r>
      <w:r>
        <w:rPr>
          <w:rFonts w:hint="eastAsia" w:ascii="宋体" w:hAnsi="宋体"/>
          <w:color w:val="auto"/>
          <w:szCs w:val="21"/>
          <w:lang w:val="en-US" w:eastAsia="zh-CN"/>
        </w:rPr>
        <w:t xml:space="preserve">原始凭证、记账凭证和会计账簿等会计记录中所含有的信息，是注册会计师执行财务报表审计业务所需获取的审计证据的重要部分。   （    ）                           </w:t>
      </w:r>
      <w:r>
        <w:rPr>
          <w:rFonts w:hint="eastAsia" w:ascii="宋体" w:hAnsi="宋体"/>
          <w:color w:val="auto"/>
          <w:szCs w:val="21"/>
        </w:rPr>
        <w:t xml:space="preserve">  </w:t>
      </w:r>
      <w:r>
        <w:rPr>
          <w:rFonts w:hint="eastAsia" w:ascii="宋体" w:hAnsi="宋体"/>
          <w:color w:val="auto"/>
          <w:szCs w:val="21"/>
          <w:lang w:val="en-US" w:eastAsia="zh-CN"/>
        </w:rPr>
        <w:t xml:space="preserve"> </w:t>
      </w:r>
      <w:r>
        <w:rPr>
          <w:rFonts w:hint="eastAsia" w:ascii="宋体" w:hAnsi="宋体"/>
          <w:color w:val="auto"/>
          <w:szCs w:val="21"/>
        </w:rPr>
        <w:t xml:space="preserve"> </w:t>
      </w:r>
      <w:r>
        <w:rPr>
          <w:rFonts w:hint="eastAsia" w:ascii="宋体" w:hAnsi="宋体"/>
          <w:color w:val="auto"/>
          <w:szCs w:val="21"/>
          <w:lang w:val="en-US" w:eastAsia="zh-CN"/>
        </w:rPr>
        <w:t xml:space="preserve">   </w:t>
      </w:r>
      <w:r>
        <w:rPr>
          <w:rFonts w:hint="eastAsia" w:ascii="宋体" w:hAnsi="宋体"/>
          <w:color w:val="auto"/>
          <w:szCs w:val="21"/>
        </w:rPr>
        <w:t xml:space="preserve"> </w:t>
      </w:r>
    </w:p>
    <w:p>
      <w:pPr>
        <w:ind w:left="7350" w:hanging="7350" w:hangingChars="3500"/>
        <w:jc w:val="left"/>
        <w:rPr>
          <w:rFonts w:hint="eastAsia" w:ascii="宋体" w:hAnsi="宋体"/>
          <w:color w:val="auto"/>
          <w:szCs w:val="21"/>
        </w:rPr>
      </w:pPr>
      <w:r>
        <w:rPr>
          <w:rFonts w:hint="eastAsia" w:ascii="宋体" w:hAnsi="宋体"/>
          <w:color w:val="auto"/>
          <w:szCs w:val="21"/>
        </w:rPr>
        <w:t>2.</w:t>
      </w:r>
      <w:r>
        <w:rPr>
          <w:rFonts w:hint="eastAsia" w:eastAsia="宋体"/>
          <w:color w:val="auto"/>
          <w:lang w:val="en-US" w:eastAsia="zh-CN"/>
        </w:rPr>
        <w:t>带编财务信息和对财务信息执行商定程序均属于相关服务，注册会计师无需提供保证</w:t>
      </w:r>
      <w:r>
        <w:rPr>
          <w:rFonts w:hint="eastAsia" w:ascii="宋体" w:hAnsi="宋体"/>
          <w:color w:val="auto"/>
          <w:szCs w:val="21"/>
        </w:rPr>
        <w:t xml:space="preserve">。 </w:t>
      </w:r>
    </w:p>
    <w:p>
      <w:pPr>
        <w:ind w:left="7350" w:leftChars="2600" w:hanging="1890" w:hangingChars="900"/>
        <w:jc w:val="left"/>
        <w:rPr>
          <w:rFonts w:ascii="宋体" w:hAnsi="宋体"/>
          <w:color w:val="auto"/>
          <w:szCs w:val="21"/>
        </w:rPr>
      </w:pPr>
      <w:r>
        <w:rPr>
          <w:rFonts w:hint="eastAsia" w:ascii="宋体" w:hAnsi="宋体"/>
          <w:color w:val="auto"/>
          <w:szCs w:val="21"/>
        </w:rPr>
        <w:t xml:space="preserve">              </w:t>
      </w:r>
      <w:r>
        <w:rPr>
          <w:rFonts w:hint="eastAsia" w:ascii="宋体" w:hAnsi="宋体"/>
          <w:color w:val="auto"/>
          <w:szCs w:val="21"/>
          <w:lang w:val="en-US" w:eastAsia="zh-CN"/>
        </w:rPr>
        <w:t xml:space="preserve">  </w:t>
      </w:r>
      <w:r>
        <w:rPr>
          <w:rFonts w:hint="eastAsia" w:ascii="宋体" w:hAnsi="宋体"/>
          <w:color w:val="auto"/>
          <w:szCs w:val="21"/>
        </w:rPr>
        <w:t>（</w:t>
      </w:r>
      <w:r>
        <w:rPr>
          <w:rFonts w:hint="eastAsia" w:ascii="宋体" w:hAnsi="宋体"/>
          <w:color w:val="auto"/>
          <w:szCs w:val="21"/>
          <w:lang w:val="en-US" w:eastAsia="zh-CN"/>
        </w:rPr>
        <w:t xml:space="preserve">   </w:t>
      </w:r>
      <w:r>
        <w:rPr>
          <w:rFonts w:hint="eastAsia" w:ascii="宋体" w:hAnsi="宋体"/>
          <w:color w:val="auto"/>
          <w:szCs w:val="21"/>
        </w:rPr>
        <w:t xml:space="preserve"> ） </w:t>
      </w:r>
    </w:p>
    <w:p>
      <w:pPr>
        <w:rPr>
          <w:rFonts w:ascii="宋体" w:hAnsi="宋体"/>
          <w:color w:val="auto"/>
          <w:szCs w:val="21"/>
        </w:rPr>
      </w:pPr>
      <w:r>
        <w:rPr>
          <w:rFonts w:hint="eastAsia" w:ascii="宋体" w:hAnsi="宋体"/>
          <w:color w:val="auto"/>
          <w:szCs w:val="21"/>
        </w:rPr>
        <w:t>3.</w:t>
      </w:r>
      <w:r>
        <w:rPr>
          <w:rFonts w:hint="eastAsia"/>
          <w:color w:val="auto"/>
          <w:lang w:val="en-US" w:eastAsia="zh-CN"/>
        </w:rPr>
        <w:t>出纳员负责登记库存现金日记账及总账</w:t>
      </w:r>
      <w:r>
        <w:rPr>
          <w:rFonts w:hint="eastAsia" w:ascii="宋体" w:hAnsi="宋体"/>
          <w:color w:val="auto"/>
          <w:szCs w:val="21"/>
          <w:lang w:val="en-US" w:eastAsia="zh-CN"/>
        </w:rPr>
        <w:t xml:space="preserve">。         </w:t>
      </w:r>
      <w:r>
        <w:rPr>
          <w:rFonts w:hint="eastAsia" w:ascii="宋体" w:hAnsi="宋体"/>
          <w:color w:val="auto"/>
          <w:szCs w:val="21"/>
        </w:rPr>
        <w:t>（    ）</w:t>
      </w:r>
    </w:p>
    <w:p>
      <w:pPr>
        <w:jc w:val="left"/>
        <w:rPr>
          <w:rFonts w:ascii="宋体" w:hAnsi="宋体"/>
          <w:color w:val="auto"/>
          <w:szCs w:val="21"/>
        </w:rPr>
      </w:pPr>
      <w:r>
        <w:rPr>
          <w:rFonts w:hint="eastAsia" w:ascii="宋体" w:hAnsi="宋体"/>
          <w:color w:val="auto"/>
          <w:szCs w:val="21"/>
        </w:rPr>
        <w:t>4.</w:t>
      </w:r>
      <w:r>
        <w:rPr>
          <w:rFonts w:hint="eastAsia" w:ascii="宋体" w:hAnsi="宋体"/>
          <w:color w:val="auto"/>
          <w:szCs w:val="21"/>
          <w:lang w:val="en-US" w:eastAsia="zh-CN"/>
        </w:rPr>
        <w:t>为了保持审计的连续性和审计结果的可比性，注册会计师对同一客户所进行的多年度会计报表审计，应使用相同的重要性水平</w:t>
      </w:r>
      <w:r>
        <w:rPr>
          <w:rFonts w:hint="eastAsia" w:ascii="宋体" w:hAnsi="宋体"/>
          <w:color w:val="auto"/>
          <w:szCs w:val="21"/>
        </w:rPr>
        <w:t xml:space="preserve">。   </w:t>
      </w:r>
      <w:r>
        <w:rPr>
          <w:rFonts w:hint="eastAsia" w:ascii="宋体" w:hAnsi="宋体"/>
          <w:color w:val="auto"/>
          <w:szCs w:val="21"/>
          <w:lang w:val="en-US" w:eastAsia="zh-CN"/>
        </w:rPr>
        <w:t xml:space="preserve"> （    ）                                       </w:t>
      </w:r>
    </w:p>
    <w:p>
      <w:pPr>
        <w:ind w:left="7140" w:hanging="7140" w:hangingChars="3400"/>
        <w:jc w:val="left"/>
        <w:rPr>
          <w:rFonts w:hint="eastAsia" w:ascii="宋体" w:hAnsi="宋体"/>
          <w:color w:val="auto"/>
          <w:szCs w:val="21"/>
        </w:rPr>
      </w:pPr>
      <w:r>
        <w:rPr>
          <w:rFonts w:hint="eastAsia" w:ascii="宋体" w:hAnsi="宋体"/>
          <w:color w:val="auto"/>
          <w:szCs w:val="21"/>
        </w:rPr>
        <w:t>5.</w:t>
      </w:r>
      <w:r>
        <w:rPr>
          <w:rFonts w:hint="eastAsia" w:ascii="宋体" w:hAnsi="宋体"/>
          <w:color w:val="auto"/>
          <w:szCs w:val="21"/>
          <w:lang w:val="en-US" w:eastAsia="zh-CN"/>
        </w:rPr>
        <w:t>为了保持应有的职业谨慎，审计人员在审计过程中必须对每一报表项目进行详细审计</w:t>
      </w:r>
      <w:r>
        <w:rPr>
          <w:rFonts w:hint="eastAsia" w:ascii="宋体" w:hAnsi="宋体"/>
          <w:color w:val="auto"/>
          <w:szCs w:val="21"/>
        </w:rPr>
        <w:t>。</w:t>
      </w:r>
      <w:r>
        <w:rPr>
          <w:rFonts w:hint="eastAsia" w:ascii="宋体" w:hAnsi="宋体"/>
          <w:color w:val="auto"/>
          <w:szCs w:val="21"/>
          <w:lang w:eastAsia="zh-CN"/>
        </w:rPr>
        <w:t>（</w:t>
      </w:r>
      <w:r>
        <w:rPr>
          <w:rFonts w:hint="eastAsia" w:ascii="宋体" w:hAnsi="宋体"/>
          <w:color w:val="auto"/>
          <w:szCs w:val="21"/>
          <w:lang w:val="en-US" w:eastAsia="zh-CN"/>
        </w:rPr>
        <w:t xml:space="preserve">   </w:t>
      </w:r>
      <w:r>
        <w:rPr>
          <w:rFonts w:hint="eastAsia" w:ascii="宋体" w:hAnsi="宋体"/>
          <w:color w:val="auto"/>
          <w:szCs w:val="21"/>
          <w:lang w:eastAsia="zh-CN"/>
        </w:rPr>
        <w:t>）</w:t>
      </w:r>
      <w:r>
        <w:rPr>
          <w:rFonts w:hint="eastAsia" w:ascii="宋体" w:hAnsi="宋体"/>
          <w:color w:val="auto"/>
          <w:szCs w:val="21"/>
        </w:rPr>
        <w:t xml:space="preserve">   </w:t>
      </w:r>
    </w:p>
    <w:p>
      <w:pPr>
        <w:numPr>
          <w:ilvl w:val="0"/>
          <w:numId w:val="1"/>
        </w:numPr>
        <w:rPr>
          <w:rFonts w:hint="eastAsia" w:ascii="宋体" w:hAnsi="宋体" w:cs="宋体"/>
          <w:b/>
          <w:color w:val="auto"/>
        </w:rPr>
      </w:pPr>
      <w:r>
        <w:rPr>
          <w:rFonts w:hint="eastAsia" w:ascii="宋体" w:hAnsi="宋体"/>
          <w:color w:val="auto"/>
          <w:szCs w:val="21"/>
        </w:rPr>
        <w:t xml:space="preserve"> </w:t>
      </w:r>
      <w:r>
        <w:rPr>
          <w:rFonts w:hint="eastAsia" w:ascii="宋体" w:hAnsi="宋体" w:cs="宋体"/>
          <w:b/>
          <w:color w:val="auto"/>
        </w:rPr>
        <w:t>单项选择题（从下列各题答案中选出一个正确答案，并将答案写在本题答案栏相应位置，每题2分，共20分）</w:t>
      </w:r>
    </w:p>
    <w:p>
      <w:pPr>
        <w:rPr>
          <w:rFonts w:hint="eastAsia"/>
          <w:color w:val="auto"/>
        </w:rPr>
      </w:pPr>
      <w:r>
        <w:rPr>
          <w:rFonts w:hint="eastAsia" w:ascii="宋体" w:hAnsi="宋体"/>
          <w:color w:val="auto"/>
          <w:szCs w:val="21"/>
        </w:rPr>
        <w:t>1.</w:t>
      </w:r>
      <w:r>
        <w:rPr>
          <w:rFonts w:hint="eastAsia"/>
          <w:color w:val="auto"/>
        </w:rPr>
        <w:t>下列有关财务报表审计的说法中，错误的是（</w:t>
      </w:r>
      <w:r>
        <w:rPr>
          <w:rFonts w:hint="eastAsia"/>
          <w:color w:val="auto"/>
          <w:lang w:val="en-US" w:eastAsia="zh-CN"/>
        </w:rPr>
        <w:t xml:space="preserve">   </w:t>
      </w:r>
      <w:r>
        <w:rPr>
          <w:rFonts w:hint="eastAsia"/>
          <w:color w:val="auto"/>
        </w:rPr>
        <w:t>）</w:t>
      </w:r>
    </w:p>
    <w:p>
      <w:pPr>
        <w:ind w:firstLine="210" w:firstLineChars="100"/>
        <w:rPr>
          <w:rFonts w:hint="eastAsia"/>
          <w:color w:val="auto"/>
        </w:rPr>
      </w:pPr>
      <w:r>
        <w:rPr>
          <w:rFonts w:hint="eastAsia"/>
          <w:color w:val="auto"/>
        </w:rPr>
        <w:t>A. 审计的目的是改善财务报表质量，但不减轻被审计单位管理层对财务报表的责任；</w:t>
      </w:r>
    </w:p>
    <w:p>
      <w:pPr>
        <w:ind w:firstLine="210" w:firstLineChars="100"/>
        <w:rPr>
          <w:rFonts w:hint="eastAsia"/>
          <w:color w:val="auto"/>
        </w:rPr>
      </w:pPr>
      <w:r>
        <w:rPr>
          <w:rFonts w:hint="eastAsia"/>
          <w:color w:val="auto"/>
        </w:rPr>
        <w:t>B. 财务报表审计可以用来有效满足被审计单位需求；</w:t>
      </w:r>
    </w:p>
    <w:p>
      <w:pPr>
        <w:ind w:firstLine="210" w:firstLineChars="100"/>
        <w:rPr>
          <w:rFonts w:hint="eastAsia"/>
          <w:color w:val="auto"/>
        </w:rPr>
      </w:pPr>
      <w:r>
        <w:rPr>
          <w:rFonts w:hint="eastAsia"/>
          <w:color w:val="auto"/>
        </w:rPr>
        <w:t>C. 审计不涉及为财务报表预期使用者如何利用信息提供建议；</w:t>
      </w:r>
    </w:p>
    <w:p>
      <w:pPr>
        <w:ind w:firstLine="210" w:firstLineChars="100"/>
        <w:rPr>
          <w:rFonts w:hint="eastAsia"/>
          <w:color w:val="auto"/>
        </w:rPr>
      </w:pPr>
      <w:r>
        <w:rPr>
          <w:rFonts w:hint="eastAsia"/>
          <w:color w:val="auto"/>
        </w:rPr>
        <w:t>D. 注册会计师的审计意见主要是向除管理层之外的预期使用者提供。</w:t>
      </w:r>
    </w:p>
    <w:p>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240" w:lineRule="auto"/>
        <w:jc w:val="both"/>
        <w:textAlignment w:val="auto"/>
        <w:rPr>
          <w:rFonts w:hint="default"/>
          <w:color w:val="auto"/>
          <w:lang w:val="en-US" w:eastAsia="zh-CN"/>
        </w:rPr>
      </w:pPr>
      <w:r>
        <w:rPr>
          <w:rFonts w:hint="eastAsia" w:ascii="宋体" w:hAnsi="宋体" w:cs="宋体"/>
          <w:b/>
          <w:color w:val="auto"/>
          <w:lang w:val="en-US" w:eastAsia="zh-CN"/>
        </w:rPr>
        <w:t>2.</w:t>
      </w:r>
      <w:r>
        <w:rPr>
          <w:rFonts w:hint="default"/>
          <w:color w:val="auto"/>
          <w:lang w:val="en-US" w:eastAsia="zh-CN"/>
        </w:rPr>
        <w:t>如果蓝天公司财务报表日资产负债表中存货项目期末显示的1000万元，根据对认定的理解，以下表述中，</w:t>
      </w:r>
      <w:r>
        <w:rPr>
          <w:rFonts w:hint="eastAsia"/>
          <w:color w:val="auto"/>
          <w:lang w:val="en-US" w:eastAsia="zh-CN"/>
        </w:rPr>
        <w:t>不</w:t>
      </w:r>
      <w:r>
        <w:rPr>
          <w:rFonts w:hint="default"/>
          <w:color w:val="auto"/>
          <w:lang w:val="en-US" w:eastAsia="zh-CN"/>
        </w:rPr>
        <w:t>恰当的有（</w:t>
      </w:r>
      <w:r>
        <w:rPr>
          <w:rFonts w:hint="eastAsia"/>
          <w:color w:val="auto"/>
          <w:lang w:val="en-US" w:eastAsia="zh-CN"/>
        </w:rPr>
        <w:t xml:space="preserve">  </w:t>
      </w:r>
      <w:r>
        <w:rPr>
          <w:rFonts w:hint="default"/>
          <w:color w:val="auto"/>
          <w:lang w:val="en-US" w:eastAsia="zh-CN"/>
        </w:rPr>
        <w:t>）。</w:t>
      </w:r>
    </w:p>
    <w:p>
      <w:pPr>
        <w:widowControl w:val="0"/>
        <w:numPr>
          <w:ilvl w:val="0"/>
          <w:numId w:val="0"/>
        </w:numPr>
        <w:ind w:firstLine="210" w:firstLineChars="100"/>
        <w:jc w:val="both"/>
        <w:rPr>
          <w:rFonts w:hint="default"/>
          <w:color w:val="auto"/>
          <w:lang w:val="en-US" w:eastAsia="zh-CN"/>
        </w:rPr>
      </w:pPr>
      <w:r>
        <w:rPr>
          <w:rFonts w:hint="default"/>
          <w:color w:val="auto"/>
          <w:lang w:val="en-US" w:eastAsia="zh-CN"/>
        </w:rPr>
        <w:t>A.</w:t>
      </w:r>
      <w:r>
        <w:rPr>
          <w:rFonts w:hint="eastAsia"/>
          <w:color w:val="auto"/>
          <w:lang w:val="en-US" w:eastAsia="zh-CN"/>
        </w:rPr>
        <w:t xml:space="preserve"> </w:t>
      </w:r>
      <w:r>
        <w:rPr>
          <w:rFonts w:hint="default"/>
          <w:color w:val="auto"/>
          <w:lang w:val="en-US" w:eastAsia="zh-CN"/>
        </w:rPr>
        <w:t>财务报表日蓝天公司资产中所记录的存货1000万元是存在的，表明存货账面记录没有多记，如果注册会计师以该账面记录为起点能够追踪到对应的存货实物</w:t>
      </w:r>
    </w:p>
    <w:p>
      <w:pPr>
        <w:widowControl w:val="0"/>
        <w:numPr>
          <w:ilvl w:val="0"/>
          <w:numId w:val="0"/>
        </w:numPr>
        <w:ind w:firstLine="210" w:firstLineChars="100"/>
        <w:jc w:val="both"/>
        <w:rPr>
          <w:rFonts w:hint="default"/>
          <w:color w:val="auto"/>
          <w:lang w:val="en-US" w:eastAsia="zh-CN"/>
        </w:rPr>
      </w:pPr>
      <w:r>
        <w:rPr>
          <w:rFonts w:hint="default"/>
          <w:color w:val="auto"/>
          <w:lang w:val="en-US" w:eastAsia="zh-CN"/>
        </w:rPr>
        <w:t>B.</w:t>
      </w:r>
      <w:r>
        <w:rPr>
          <w:rFonts w:hint="eastAsia"/>
          <w:color w:val="auto"/>
          <w:lang w:val="en-US" w:eastAsia="zh-CN"/>
        </w:rPr>
        <w:t xml:space="preserve"> </w:t>
      </w:r>
      <w:r>
        <w:rPr>
          <w:rFonts w:hint="default"/>
          <w:color w:val="auto"/>
          <w:lang w:val="en-US" w:eastAsia="zh-CN"/>
        </w:rPr>
        <w:t>存货以恰当的金额1000万元记录在资产负债表中，与之相关的计价调整已恰当记录，表明存货在资产负债表的金额是正确的，并且已经对存货进行了期末减值估计</w:t>
      </w:r>
    </w:p>
    <w:p>
      <w:pPr>
        <w:widowControl w:val="0"/>
        <w:numPr>
          <w:ilvl w:val="0"/>
          <w:numId w:val="0"/>
        </w:numPr>
        <w:ind w:firstLine="210" w:firstLineChars="100"/>
        <w:jc w:val="both"/>
        <w:rPr>
          <w:rFonts w:hint="default"/>
          <w:color w:val="auto"/>
          <w:lang w:val="en-US" w:eastAsia="zh-CN"/>
        </w:rPr>
      </w:pPr>
      <w:r>
        <w:rPr>
          <w:rFonts w:hint="default"/>
          <w:color w:val="auto"/>
          <w:lang w:val="en-US" w:eastAsia="zh-CN"/>
        </w:rPr>
        <w:t>C.</w:t>
      </w:r>
      <w:r>
        <w:rPr>
          <w:rFonts w:hint="eastAsia"/>
          <w:color w:val="auto"/>
          <w:lang w:val="en-US" w:eastAsia="zh-CN"/>
        </w:rPr>
        <w:t xml:space="preserve"> </w:t>
      </w:r>
      <w:r>
        <w:rPr>
          <w:rFonts w:hint="default"/>
          <w:color w:val="auto"/>
          <w:lang w:val="en-US" w:eastAsia="zh-CN"/>
        </w:rPr>
        <w:t>所有应当记录的存货均已记录在1000万元中，表明实际存在的并且所有权属于蓝天公司的存货已经记录在资产负债表中，没有少记</w:t>
      </w:r>
    </w:p>
    <w:p>
      <w:pPr>
        <w:widowControl w:val="0"/>
        <w:numPr>
          <w:ilvl w:val="0"/>
          <w:numId w:val="0"/>
        </w:numPr>
        <w:ind w:firstLine="210" w:firstLineChars="100"/>
        <w:jc w:val="both"/>
        <w:rPr>
          <w:rFonts w:hint="default"/>
          <w:color w:val="auto"/>
          <w:lang w:val="en-US" w:eastAsia="zh-CN"/>
        </w:rPr>
      </w:pPr>
      <w:r>
        <w:rPr>
          <w:rFonts w:hint="default"/>
          <w:color w:val="auto"/>
          <w:lang w:val="en-US" w:eastAsia="zh-CN"/>
        </w:rPr>
        <w:t>D.</w:t>
      </w:r>
      <w:r>
        <w:rPr>
          <w:rFonts w:hint="eastAsia"/>
          <w:color w:val="auto"/>
          <w:lang w:val="en-US" w:eastAsia="zh-CN"/>
        </w:rPr>
        <w:t xml:space="preserve"> </w:t>
      </w:r>
      <w:r>
        <w:rPr>
          <w:rFonts w:hint="default"/>
          <w:color w:val="auto"/>
          <w:lang w:val="en-US" w:eastAsia="zh-CN"/>
        </w:rPr>
        <w:t>蓝天公司记录的存货均由其拥有或控制，表明存货资产都在被审计单位</w:t>
      </w:r>
    </w:p>
    <w:p>
      <w:pPr>
        <w:widowControl w:val="0"/>
        <w:numPr>
          <w:ilvl w:val="0"/>
          <w:numId w:val="0"/>
        </w:numPr>
        <w:jc w:val="both"/>
        <w:rPr>
          <w:rFonts w:hint="eastAsia"/>
          <w:color w:val="auto"/>
          <w:lang w:val="en-US" w:eastAsia="zh-CN"/>
        </w:rPr>
      </w:pPr>
      <w:r>
        <w:rPr>
          <w:rFonts w:hint="eastAsia" w:ascii="宋体" w:hAnsi="宋体"/>
          <w:color w:val="auto"/>
          <w:szCs w:val="21"/>
          <w:lang w:val="en-US" w:eastAsia="zh-CN"/>
        </w:rPr>
        <w:t>3</w:t>
      </w:r>
      <w:r>
        <w:rPr>
          <w:rFonts w:hint="eastAsia" w:ascii="宋体" w:hAnsi="宋体"/>
          <w:color w:val="auto"/>
          <w:szCs w:val="21"/>
        </w:rPr>
        <w:t>.</w:t>
      </w:r>
      <w:r>
        <w:rPr>
          <w:rFonts w:hint="eastAsia"/>
          <w:color w:val="auto"/>
          <w:lang w:val="en-US" w:eastAsia="zh-CN"/>
        </w:rPr>
        <w:t>下列有关固有风险和控制风险的说法中，正确的是（  ）</w:t>
      </w:r>
    </w:p>
    <w:p>
      <w:pPr>
        <w:widowControl w:val="0"/>
        <w:numPr>
          <w:ilvl w:val="0"/>
          <w:numId w:val="0"/>
        </w:numPr>
        <w:ind w:firstLine="210" w:firstLineChars="100"/>
        <w:jc w:val="both"/>
        <w:rPr>
          <w:rFonts w:hint="eastAsia"/>
          <w:color w:val="auto"/>
          <w:lang w:val="en-US" w:eastAsia="zh-CN"/>
        </w:rPr>
      </w:pPr>
      <w:r>
        <w:rPr>
          <w:rFonts w:hint="eastAsia"/>
          <w:color w:val="auto"/>
          <w:lang w:val="en-US" w:eastAsia="zh-CN"/>
        </w:rPr>
        <w:t>A. 固有风险和控制风险与被审计单位的风险相关，独立于财务报表审计而存在</w:t>
      </w:r>
    </w:p>
    <w:p>
      <w:pPr>
        <w:widowControl w:val="0"/>
        <w:numPr>
          <w:ilvl w:val="0"/>
          <w:numId w:val="0"/>
        </w:numPr>
        <w:ind w:firstLine="210" w:firstLineChars="100"/>
        <w:jc w:val="both"/>
        <w:rPr>
          <w:rFonts w:hint="eastAsia"/>
          <w:color w:val="auto"/>
          <w:lang w:val="en-US" w:eastAsia="zh-CN"/>
        </w:rPr>
      </w:pPr>
      <w:r>
        <w:rPr>
          <w:rFonts w:hint="eastAsia"/>
          <w:color w:val="auto"/>
          <w:lang w:val="en-US" w:eastAsia="zh-CN"/>
        </w:rPr>
        <w:t>B. 财务报表层次和认定层次的重大错报风险可以细分为固有风险和控制风险</w:t>
      </w:r>
    </w:p>
    <w:p>
      <w:pPr>
        <w:widowControl w:val="0"/>
        <w:numPr>
          <w:ilvl w:val="0"/>
          <w:numId w:val="0"/>
        </w:numPr>
        <w:ind w:firstLine="210" w:firstLineChars="100"/>
        <w:jc w:val="both"/>
        <w:rPr>
          <w:rFonts w:hint="eastAsia"/>
          <w:color w:val="auto"/>
          <w:lang w:val="en-US" w:eastAsia="zh-CN"/>
        </w:rPr>
      </w:pPr>
      <w:r>
        <w:rPr>
          <w:rFonts w:hint="eastAsia"/>
          <w:color w:val="auto"/>
          <w:lang w:val="en-US" w:eastAsia="zh-CN"/>
        </w:rPr>
        <w:t>C. 注册会计师无法单独对固有风险和控制风险进行评估</w:t>
      </w:r>
    </w:p>
    <w:p>
      <w:pPr>
        <w:widowControl w:val="0"/>
        <w:numPr>
          <w:ilvl w:val="0"/>
          <w:numId w:val="0"/>
        </w:numPr>
        <w:ind w:firstLine="210" w:firstLineChars="100"/>
        <w:jc w:val="both"/>
        <w:rPr>
          <w:rFonts w:hint="eastAsia"/>
          <w:color w:val="auto"/>
          <w:lang w:val="en-US" w:eastAsia="zh-CN"/>
        </w:rPr>
      </w:pPr>
      <w:r>
        <w:rPr>
          <w:rFonts w:hint="eastAsia"/>
          <w:color w:val="auto"/>
          <w:lang w:val="en-US" w:eastAsia="zh-CN"/>
        </w:rPr>
        <w:t>D. 固有风险始终存在，而运行有效的内部控制可以消除控制风险</w:t>
      </w:r>
    </w:p>
    <w:p>
      <w:pPr>
        <w:widowControl w:val="0"/>
        <w:numPr>
          <w:ilvl w:val="0"/>
          <w:numId w:val="0"/>
        </w:numPr>
        <w:jc w:val="both"/>
        <w:rPr>
          <w:rFonts w:hint="default"/>
          <w:color w:val="auto"/>
          <w:lang w:val="en-US" w:eastAsia="zh-CN"/>
        </w:rPr>
      </w:pPr>
      <w:r>
        <w:rPr>
          <w:rFonts w:hint="eastAsia"/>
          <w:color w:val="auto"/>
          <w:lang w:val="en-US" w:eastAsia="zh-CN"/>
        </w:rPr>
        <w:t>4.</w:t>
      </w:r>
      <w:r>
        <w:rPr>
          <w:rFonts w:hint="default"/>
          <w:color w:val="auto"/>
          <w:lang w:val="en-US" w:eastAsia="zh-CN"/>
        </w:rPr>
        <w:t>下列有关审计风险的说法中，错误的是（   ）</w:t>
      </w:r>
    </w:p>
    <w:p>
      <w:pPr>
        <w:widowControl w:val="0"/>
        <w:numPr>
          <w:ilvl w:val="0"/>
          <w:numId w:val="0"/>
        </w:numPr>
        <w:ind w:firstLine="210" w:firstLineChars="100"/>
        <w:jc w:val="both"/>
        <w:rPr>
          <w:rFonts w:hint="default"/>
          <w:color w:val="auto"/>
          <w:lang w:val="en-US" w:eastAsia="zh-CN"/>
        </w:rPr>
      </w:pPr>
      <w:r>
        <w:rPr>
          <w:rFonts w:hint="default"/>
          <w:color w:val="auto"/>
          <w:lang w:val="en-US" w:eastAsia="zh-CN"/>
        </w:rPr>
        <w:t>A. 如果注册会计师将某一认定的可接受审计风险设定为10%，评估的重大错报风险为35%，则可接受的检查风险为25%；</w:t>
      </w:r>
    </w:p>
    <w:p>
      <w:pPr>
        <w:widowControl w:val="0"/>
        <w:numPr>
          <w:ilvl w:val="0"/>
          <w:numId w:val="0"/>
        </w:numPr>
        <w:ind w:firstLine="210" w:firstLineChars="100"/>
        <w:jc w:val="both"/>
        <w:rPr>
          <w:rFonts w:hint="default"/>
          <w:color w:val="auto"/>
          <w:lang w:val="en-US" w:eastAsia="zh-CN"/>
        </w:rPr>
      </w:pPr>
      <w:r>
        <w:rPr>
          <w:rFonts w:hint="default"/>
          <w:color w:val="auto"/>
          <w:lang w:val="en-US" w:eastAsia="zh-CN"/>
        </w:rPr>
        <w:t>B. 实务中，注册会计师不一定用绝对数量表达审计风险水平，可选用文字进行定性表述；</w:t>
      </w:r>
    </w:p>
    <w:p>
      <w:pPr>
        <w:widowControl w:val="0"/>
        <w:numPr>
          <w:ilvl w:val="0"/>
          <w:numId w:val="0"/>
        </w:numPr>
        <w:ind w:firstLine="210" w:firstLineChars="100"/>
        <w:jc w:val="both"/>
        <w:rPr>
          <w:rFonts w:hint="default"/>
          <w:color w:val="auto"/>
          <w:lang w:val="en-US" w:eastAsia="zh-CN"/>
        </w:rPr>
      </w:pPr>
      <w:r>
        <w:rPr>
          <w:rFonts w:hint="default"/>
          <w:color w:val="auto"/>
          <w:lang w:val="en-US" w:eastAsia="zh-CN"/>
        </w:rPr>
        <w:t>C. 审计风险并不是指注册会计师执行业务的法律后果；</w:t>
      </w:r>
    </w:p>
    <w:p>
      <w:pPr>
        <w:widowControl w:val="0"/>
        <w:numPr>
          <w:ilvl w:val="0"/>
          <w:numId w:val="0"/>
        </w:numPr>
        <w:ind w:firstLine="210" w:firstLineChars="100"/>
        <w:jc w:val="both"/>
        <w:rPr>
          <w:rFonts w:hint="default"/>
          <w:color w:val="auto"/>
          <w:lang w:val="en-US" w:eastAsia="zh-CN"/>
        </w:rPr>
      </w:pPr>
      <w:r>
        <w:rPr>
          <w:rFonts w:hint="default"/>
          <w:color w:val="auto"/>
          <w:lang w:val="en-US" w:eastAsia="zh-CN"/>
        </w:rPr>
        <w:t>D. 在审计风险模型中，重大错报风险独立于财务报表审计而存在。</w:t>
      </w:r>
    </w:p>
    <w:p>
      <w:pPr>
        <w:numPr>
          <w:ilvl w:val="0"/>
          <w:numId w:val="0"/>
        </w:numPr>
        <w:rPr>
          <w:rFonts w:hint="eastAsia"/>
          <w:color w:val="auto"/>
          <w:lang w:val="en-US" w:eastAsia="zh-CN"/>
        </w:rPr>
      </w:pPr>
      <w:r>
        <w:rPr>
          <w:rFonts w:hint="eastAsia"/>
          <w:color w:val="auto"/>
          <w:lang w:val="en-US" w:eastAsia="zh-CN"/>
        </w:rPr>
        <w:t>5.下列各项中，注册会计师在审计过程中形成的审计工作底稿的所有权应当属于（  ）</w:t>
      </w:r>
    </w:p>
    <w:p>
      <w:pPr>
        <w:numPr>
          <w:ilvl w:val="0"/>
          <w:numId w:val="0"/>
        </w:numPr>
        <w:ind w:firstLine="210" w:firstLineChars="100"/>
        <w:rPr>
          <w:rFonts w:hint="eastAsia"/>
          <w:color w:val="auto"/>
          <w:lang w:val="en-US" w:eastAsia="zh-CN"/>
        </w:rPr>
      </w:pPr>
      <w:r>
        <w:rPr>
          <w:rFonts w:hint="eastAsia"/>
          <w:color w:val="auto"/>
          <w:lang w:val="en-US" w:eastAsia="zh-CN"/>
        </w:rPr>
        <w:t>A. 被审计单位；</w:t>
      </w:r>
    </w:p>
    <w:p>
      <w:pPr>
        <w:numPr>
          <w:ilvl w:val="0"/>
          <w:numId w:val="0"/>
        </w:numPr>
        <w:ind w:firstLine="210" w:firstLineChars="100"/>
        <w:rPr>
          <w:rFonts w:hint="eastAsia"/>
          <w:color w:val="auto"/>
          <w:lang w:val="en-US" w:eastAsia="zh-CN"/>
        </w:rPr>
      </w:pPr>
      <w:r>
        <w:rPr>
          <w:rFonts w:hint="eastAsia"/>
          <w:color w:val="auto"/>
          <w:lang w:val="en-US" w:eastAsia="zh-CN"/>
        </w:rPr>
        <w:t>B. 会计师事务所；</w:t>
      </w:r>
    </w:p>
    <w:p>
      <w:pPr>
        <w:numPr>
          <w:ilvl w:val="0"/>
          <w:numId w:val="0"/>
        </w:numPr>
        <w:ind w:firstLine="210" w:firstLineChars="100"/>
        <w:rPr>
          <w:rFonts w:hint="eastAsia"/>
          <w:color w:val="auto"/>
          <w:lang w:val="en-US" w:eastAsia="zh-CN"/>
        </w:rPr>
      </w:pPr>
      <w:r>
        <w:rPr>
          <w:rFonts w:hint="eastAsia"/>
          <w:color w:val="auto"/>
          <w:lang w:val="en-US" w:eastAsia="zh-CN"/>
        </w:rPr>
        <w:t>C. 关键合伙人；</w:t>
      </w:r>
    </w:p>
    <w:p>
      <w:pPr>
        <w:numPr>
          <w:ilvl w:val="0"/>
          <w:numId w:val="0"/>
        </w:numPr>
        <w:ind w:firstLine="210" w:firstLineChars="100"/>
        <w:rPr>
          <w:rFonts w:hint="eastAsia"/>
          <w:color w:val="auto"/>
          <w:lang w:val="en-US" w:eastAsia="zh-CN"/>
        </w:rPr>
      </w:pPr>
      <w:r>
        <w:rPr>
          <w:rFonts w:hint="eastAsia"/>
          <w:color w:val="auto"/>
          <w:lang w:val="en-US" w:eastAsia="zh-CN"/>
        </w:rPr>
        <w:t>D. 责任方和预期使用者。</w:t>
      </w:r>
    </w:p>
    <w:p>
      <w:pPr>
        <w:numPr>
          <w:ilvl w:val="0"/>
          <w:numId w:val="0"/>
        </w:numP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6.在运用审计抽样实施细节测试时，下列情形中，对总体进行分层可以提高抽样效率的是（    ）。</w:t>
      </w:r>
    </w:p>
    <w:p>
      <w:pPr>
        <w:numPr>
          <w:ilvl w:val="0"/>
          <w:numId w:val="0"/>
        </w:numPr>
        <w:ind w:firstLine="210" w:firstLineChars="1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A.总体规模较大                                    </w:t>
      </w:r>
    </w:p>
    <w:p>
      <w:pPr>
        <w:numPr>
          <w:ilvl w:val="0"/>
          <w:numId w:val="0"/>
        </w:numPr>
        <w:ind w:firstLine="210" w:firstLineChars="1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B.预计总体错报较高</w:t>
      </w:r>
    </w:p>
    <w:p>
      <w:pPr>
        <w:numPr>
          <w:ilvl w:val="0"/>
          <w:numId w:val="0"/>
        </w:numPr>
        <w:ind w:firstLine="210" w:firstLineChars="1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C.总体变异性较大                                  </w:t>
      </w:r>
    </w:p>
    <w:p>
      <w:pPr>
        <w:numPr>
          <w:ilvl w:val="0"/>
          <w:numId w:val="0"/>
        </w:numPr>
        <w:ind w:firstLine="210" w:firstLineChars="1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D.误拒风险较高</w:t>
      </w:r>
    </w:p>
    <w:p>
      <w:pPr>
        <w:widowControl w:val="0"/>
        <w:numPr>
          <w:ilvl w:val="0"/>
          <w:numId w:val="0"/>
        </w:numPr>
        <w:jc w:val="both"/>
        <w:rPr>
          <w:rFonts w:hint="eastAsia"/>
          <w:color w:val="auto"/>
          <w:lang w:val="en-US" w:eastAsia="zh-CN"/>
        </w:rPr>
      </w:pPr>
      <w:r>
        <w:rPr>
          <w:rFonts w:hint="eastAsia"/>
          <w:color w:val="auto"/>
          <w:kern w:val="2"/>
          <w:lang w:val="en-US" w:eastAsia="zh-CN"/>
        </w:rPr>
        <w:t>7.</w:t>
      </w:r>
      <w:r>
        <w:rPr>
          <w:rFonts w:hint="eastAsia"/>
          <w:color w:val="auto"/>
          <w:lang w:val="en-US" w:eastAsia="zh-CN"/>
        </w:rPr>
        <w:t>下列与审计相关的内部控制的说法中，正确的是（  ）</w:t>
      </w:r>
    </w:p>
    <w:p>
      <w:pPr>
        <w:widowControl w:val="0"/>
        <w:numPr>
          <w:ilvl w:val="0"/>
          <w:numId w:val="0"/>
        </w:numPr>
        <w:ind w:firstLine="210" w:firstLineChars="100"/>
        <w:jc w:val="both"/>
        <w:rPr>
          <w:rFonts w:hint="eastAsia"/>
          <w:color w:val="auto"/>
          <w:lang w:val="en-US" w:eastAsia="zh-CN"/>
        </w:rPr>
      </w:pPr>
      <w:r>
        <w:rPr>
          <w:rFonts w:hint="eastAsia"/>
          <w:color w:val="auto"/>
          <w:lang w:val="en-US" w:eastAsia="zh-CN"/>
        </w:rPr>
        <w:t>A. 与财务报告相关的内部控制均与审计相关；</w:t>
      </w:r>
    </w:p>
    <w:p>
      <w:pPr>
        <w:widowControl w:val="0"/>
        <w:numPr>
          <w:ilvl w:val="0"/>
          <w:numId w:val="0"/>
        </w:numPr>
        <w:ind w:firstLine="210" w:firstLineChars="100"/>
        <w:jc w:val="both"/>
        <w:rPr>
          <w:rFonts w:hint="eastAsia"/>
          <w:color w:val="auto"/>
          <w:lang w:val="en-US" w:eastAsia="zh-CN"/>
        </w:rPr>
      </w:pPr>
      <w:r>
        <w:rPr>
          <w:rFonts w:hint="eastAsia"/>
          <w:color w:val="auto"/>
          <w:lang w:val="en-US" w:eastAsia="zh-CN"/>
        </w:rPr>
        <w:t>B. 与审计相关的内部控制并非均与财务报告相关；</w:t>
      </w:r>
    </w:p>
    <w:p>
      <w:pPr>
        <w:widowControl w:val="0"/>
        <w:numPr>
          <w:ilvl w:val="0"/>
          <w:numId w:val="0"/>
        </w:numPr>
        <w:ind w:firstLine="210" w:firstLineChars="100"/>
        <w:jc w:val="both"/>
        <w:rPr>
          <w:rFonts w:hint="eastAsia"/>
          <w:color w:val="auto"/>
          <w:lang w:val="en-US" w:eastAsia="zh-CN"/>
        </w:rPr>
      </w:pPr>
      <w:r>
        <w:rPr>
          <w:rFonts w:hint="eastAsia"/>
          <w:color w:val="auto"/>
          <w:lang w:val="en-US" w:eastAsia="zh-CN"/>
        </w:rPr>
        <w:t>C. 与经营目标相关的内部控制与审计无关；</w:t>
      </w:r>
    </w:p>
    <w:p>
      <w:pPr>
        <w:widowControl w:val="0"/>
        <w:numPr>
          <w:ilvl w:val="0"/>
          <w:numId w:val="0"/>
        </w:numPr>
        <w:ind w:firstLine="210" w:firstLineChars="100"/>
        <w:jc w:val="both"/>
        <w:rPr>
          <w:rFonts w:hint="eastAsia"/>
          <w:color w:val="auto"/>
          <w:lang w:val="en-US" w:eastAsia="zh-CN"/>
        </w:rPr>
      </w:pPr>
      <w:r>
        <w:rPr>
          <w:rFonts w:hint="eastAsia"/>
          <w:color w:val="auto"/>
          <w:lang w:val="en-US" w:eastAsia="zh-CN"/>
        </w:rPr>
        <w:t>D. 与合规目标相关的内部控制与审计无关。</w:t>
      </w:r>
    </w:p>
    <w:p>
      <w:pPr>
        <w:widowControl w:val="0"/>
        <w:numPr>
          <w:ilvl w:val="0"/>
          <w:numId w:val="0"/>
        </w:numPr>
        <w:jc w:val="both"/>
        <w:rPr>
          <w:rFonts w:hint="eastAsia"/>
          <w:color w:val="auto"/>
          <w:lang w:val="en-US" w:eastAsia="zh-CN"/>
        </w:rPr>
      </w:pPr>
      <w:r>
        <w:rPr>
          <w:rFonts w:hint="eastAsia"/>
          <w:color w:val="auto"/>
          <w:lang w:val="en-US" w:eastAsia="zh-CN"/>
        </w:rPr>
        <w:t>8.下列控制活动中，与营业收入“发生”认定直接相关的是（  ）</w:t>
      </w:r>
    </w:p>
    <w:p>
      <w:pPr>
        <w:numPr>
          <w:ilvl w:val="0"/>
          <w:numId w:val="0"/>
        </w:numPr>
        <w:ind w:firstLine="210" w:firstLineChars="100"/>
        <w:rPr>
          <w:rFonts w:hint="default"/>
          <w:color w:val="auto"/>
          <w:lang w:val="en-US" w:eastAsia="zh-CN"/>
        </w:rPr>
      </w:pPr>
      <w:r>
        <w:rPr>
          <w:rFonts w:hint="eastAsia"/>
          <w:color w:val="auto"/>
          <w:lang w:val="en-US" w:eastAsia="zh-CN"/>
        </w:rPr>
        <w:t>A. 销售发票均经事先连续编号，并已登记入账；</w:t>
      </w:r>
    </w:p>
    <w:p>
      <w:pPr>
        <w:numPr>
          <w:ilvl w:val="0"/>
          <w:numId w:val="0"/>
        </w:numPr>
        <w:ind w:firstLine="210" w:firstLineChars="100"/>
        <w:rPr>
          <w:rFonts w:hint="default"/>
          <w:color w:val="auto"/>
          <w:lang w:val="en-US" w:eastAsia="zh-CN"/>
        </w:rPr>
      </w:pPr>
      <w:r>
        <w:rPr>
          <w:rFonts w:hint="eastAsia"/>
          <w:color w:val="auto"/>
          <w:lang w:val="en-US" w:eastAsia="zh-CN"/>
        </w:rPr>
        <w:t>B. 销售价格、付款条件、运费与销售折扣的确定已经适当的授权批准；</w:t>
      </w:r>
    </w:p>
    <w:p>
      <w:pPr>
        <w:numPr>
          <w:ilvl w:val="0"/>
          <w:numId w:val="0"/>
        </w:numPr>
        <w:ind w:firstLine="210" w:firstLineChars="100"/>
        <w:rPr>
          <w:rFonts w:hint="default"/>
          <w:color w:val="auto"/>
          <w:lang w:val="en-US" w:eastAsia="zh-CN"/>
        </w:rPr>
      </w:pPr>
      <w:r>
        <w:rPr>
          <w:rFonts w:hint="eastAsia"/>
          <w:color w:val="auto"/>
          <w:lang w:val="en-US" w:eastAsia="zh-CN"/>
        </w:rPr>
        <w:t>C. 每月月末由独立人员进行内部核查，确认销售交易是否均已及时入账；</w:t>
      </w:r>
    </w:p>
    <w:p>
      <w:pPr>
        <w:widowControl w:val="0"/>
        <w:numPr>
          <w:ilvl w:val="0"/>
          <w:numId w:val="0"/>
        </w:numPr>
        <w:ind w:firstLine="210" w:firstLineChars="100"/>
        <w:jc w:val="both"/>
        <w:rPr>
          <w:rFonts w:hint="eastAsia"/>
          <w:color w:val="auto"/>
          <w:lang w:val="en-US" w:eastAsia="zh-CN"/>
        </w:rPr>
      </w:pPr>
      <w:r>
        <w:rPr>
          <w:rFonts w:hint="eastAsia"/>
          <w:color w:val="auto"/>
          <w:lang w:val="en-US" w:eastAsia="zh-CN"/>
        </w:rPr>
        <w:t>D. 销售交易是以附有有效装运凭证和销售单的销售发票为依据登记入账的。</w:t>
      </w:r>
    </w:p>
    <w:p>
      <w:pPr>
        <w:numPr>
          <w:ilvl w:val="0"/>
          <w:numId w:val="0"/>
        </w:numPr>
        <w:rPr>
          <w:rFonts w:hint="eastAsia"/>
          <w:color w:val="auto"/>
          <w:lang w:val="en-US" w:eastAsia="zh-CN"/>
        </w:rPr>
      </w:pPr>
      <w:r>
        <w:rPr>
          <w:rFonts w:hint="eastAsia"/>
          <w:color w:val="auto"/>
          <w:lang w:val="en-US" w:eastAsia="zh-CN"/>
        </w:rPr>
        <w:t>9.下列各项中，不属于存货监盘计划应当包括的内容是（   ）</w:t>
      </w:r>
    </w:p>
    <w:p>
      <w:pPr>
        <w:numPr>
          <w:ilvl w:val="0"/>
          <w:numId w:val="0"/>
        </w:numPr>
        <w:ind w:firstLine="210" w:firstLineChars="100"/>
        <w:rPr>
          <w:rFonts w:hint="eastAsia"/>
          <w:color w:val="auto"/>
          <w:lang w:val="en-US" w:eastAsia="zh-CN"/>
        </w:rPr>
      </w:pPr>
      <w:r>
        <w:rPr>
          <w:rFonts w:hint="eastAsia"/>
          <w:color w:val="auto"/>
          <w:lang w:val="en-US" w:eastAsia="zh-CN"/>
        </w:rPr>
        <w:t>A. 存货监盘的目标、范围及时间安排；</w:t>
      </w:r>
    </w:p>
    <w:p>
      <w:pPr>
        <w:numPr>
          <w:ilvl w:val="0"/>
          <w:numId w:val="0"/>
        </w:numPr>
        <w:ind w:firstLine="210" w:firstLineChars="100"/>
        <w:rPr>
          <w:rFonts w:hint="eastAsia"/>
          <w:color w:val="auto"/>
          <w:lang w:val="en-US" w:eastAsia="zh-CN"/>
        </w:rPr>
      </w:pPr>
      <w:r>
        <w:rPr>
          <w:rFonts w:hint="eastAsia"/>
          <w:color w:val="auto"/>
          <w:lang w:val="en-US" w:eastAsia="zh-CN"/>
        </w:rPr>
        <w:t>B. 产品成本的计算；</w:t>
      </w:r>
    </w:p>
    <w:p>
      <w:pPr>
        <w:numPr>
          <w:ilvl w:val="0"/>
          <w:numId w:val="0"/>
        </w:numPr>
        <w:ind w:firstLine="210" w:firstLineChars="100"/>
        <w:rPr>
          <w:rFonts w:hint="eastAsia"/>
          <w:color w:val="auto"/>
          <w:lang w:val="en-US" w:eastAsia="zh-CN"/>
        </w:rPr>
      </w:pPr>
      <w:r>
        <w:rPr>
          <w:rFonts w:hint="eastAsia"/>
          <w:color w:val="auto"/>
          <w:lang w:val="en-US" w:eastAsia="zh-CN"/>
        </w:rPr>
        <w:t>C. 参加存货监盘人员的分工；</w:t>
      </w:r>
    </w:p>
    <w:p>
      <w:pPr>
        <w:widowControl w:val="0"/>
        <w:numPr>
          <w:ilvl w:val="0"/>
          <w:numId w:val="0"/>
        </w:numPr>
        <w:ind w:firstLine="210" w:firstLineChars="100"/>
        <w:jc w:val="both"/>
        <w:rPr>
          <w:rFonts w:hint="default"/>
          <w:color w:val="auto"/>
          <w:lang w:val="en-US" w:eastAsia="zh-CN"/>
        </w:rPr>
      </w:pPr>
      <w:r>
        <w:rPr>
          <w:rFonts w:hint="eastAsia"/>
          <w:color w:val="auto"/>
          <w:lang w:val="en-US" w:eastAsia="zh-CN"/>
        </w:rPr>
        <w:t>D. 检查存货的范围。</w:t>
      </w:r>
    </w:p>
    <w:p>
      <w:pPr>
        <w:widowControl w:val="0"/>
        <w:numPr>
          <w:ilvl w:val="0"/>
          <w:numId w:val="0"/>
        </w:numPr>
        <w:jc w:val="both"/>
        <w:rPr>
          <w:rFonts w:hint="eastAsia"/>
          <w:color w:val="auto"/>
          <w:lang w:val="en-US" w:eastAsia="zh-CN"/>
        </w:rPr>
      </w:pPr>
      <w:r>
        <w:rPr>
          <w:rFonts w:hint="eastAsia"/>
          <w:color w:val="auto"/>
          <w:lang w:val="en-US" w:eastAsia="zh-CN"/>
        </w:rPr>
        <w:t>10.下列关于关键审计事项的说法中，错误的是（   ）</w:t>
      </w:r>
    </w:p>
    <w:p>
      <w:pPr>
        <w:widowControl w:val="0"/>
        <w:numPr>
          <w:ilvl w:val="0"/>
          <w:numId w:val="0"/>
        </w:numPr>
        <w:ind w:firstLine="210" w:firstLineChars="100"/>
        <w:jc w:val="both"/>
        <w:rPr>
          <w:rFonts w:hint="eastAsia"/>
          <w:color w:val="auto"/>
          <w:lang w:val="en-US" w:eastAsia="zh-CN"/>
        </w:rPr>
      </w:pPr>
      <w:r>
        <w:rPr>
          <w:rFonts w:hint="eastAsia"/>
          <w:color w:val="auto"/>
          <w:lang w:val="en-US" w:eastAsia="zh-CN"/>
        </w:rPr>
        <w:t>A. 如果沟通某些敏感信息可能会给被审计单位带来较为严重的负面影响，不宜在审计报告中作为关键审计事项沟通；</w:t>
      </w:r>
    </w:p>
    <w:p>
      <w:pPr>
        <w:widowControl w:val="0"/>
        <w:numPr>
          <w:ilvl w:val="0"/>
          <w:numId w:val="0"/>
        </w:numPr>
        <w:ind w:firstLine="210" w:firstLineChars="100"/>
        <w:jc w:val="both"/>
        <w:rPr>
          <w:rFonts w:hint="eastAsia"/>
          <w:color w:val="auto"/>
          <w:lang w:val="en-US" w:eastAsia="zh-CN"/>
        </w:rPr>
      </w:pPr>
      <w:r>
        <w:rPr>
          <w:rFonts w:hint="eastAsia"/>
          <w:color w:val="auto"/>
          <w:lang w:val="en-US" w:eastAsia="zh-CN"/>
        </w:rPr>
        <w:t>B. 导致否定意见的事项本身是审计中最为重要的事项，需要列示在关键审计事项中；</w:t>
      </w:r>
    </w:p>
    <w:p>
      <w:pPr>
        <w:ind w:firstLine="210" w:firstLineChars="100"/>
        <w:rPr>
          <w:rFonts w:hint="eastAsia"/>
          <w:color w:val="auto"/>
          <w:lang w:val="en-US" w:eastAsia="zh-CN"/>
        </w:rPr>
      </w:pPr>
      <w:r>
        <w:rPr>
          <w:rFonts w:hint="eastAsia"/>
          <w:color w:val="auto"/>
          <w:lang w:val="en-US" w:eastAsia="zh-CN"/>
        </w:rPr>
        <w:t>C. 如果对财务报表发表无法表示意见，通常情况下，审计报告中不应存在关键审计事项部分；</w:t>
      </w:r>
    </w:p>
    <w:p>
      <w:pPr>
        <w:widowControl w:val="0"/>
        <w:numPr>
          <w:ilvl w:val="0"/>
          <w:numId w:val="0"/>
        </w:numPr>
        <w:ind w:firstLine="210" w:firstLineChars="100"/>
        <w:jc w:val="both"/>
        <w:rPr>
          <w:rFonts w:hint="eastAsia"/>
          <w:color w:val="auto"/>
          <w:lang w:val="en-US" w:eastAsia="zh-CN"/>
        </w:rPr>
      </w:pPr>
      <w:r>
        <w:rPr>
          <w:rFonts w:hint="eastAsia"/>
          <w:color w:val="auto"/>
          <w:lang w:val="en-US" w:eastAsia="zh-CN"/>
        </w:rPr>
        <w:t>D. 某事项被确定为审计报告中沟通的关键审计事项，该事项不能在同时强调事项部分披露。</w:t>
      </w:r>
    </w:p>
    <w:p>
      <w:pPr>
        <w:ind w:firstLine="210" w:firstLineChars="100"/>
        <w:rPr>
          <w:rFonts w:hint="eastAsia"/>
          <w:color w:val="auto"/>
          <w:lang w:val="en-US" w:eastAsia="zh-CN"/>
        </w:rPr>
      </w:pPr>
    </w:p>
    <w:p>
      <w:pPr>
        <w:rPr>
          <w:rFonts w:ascii="宋体" w:hAnsi="宋体"/>
          <w:bCs/>
          <w:color w:val="auto"/>
          <w:szCs w:val="21"/>
        </w:rPr>
      </w:pPr>
      <w:r>
        <w:rPr>
          <w:rFonts w:hint="eastAsia"/>
          <w:b/>
          <w:color w:val="auto"/>
          <w:szCs w:val="21"/>
          <w:lang w:val="en-US" w:eastAsia="zh-CN"/>
        </w:rPr>
        <w:t>三、</w:t>
      </w:r>
      <w:r>
        <w:rPr>
          <w:rFonts w:hint="eastAsia"/>
          <w:b/>
          <w:color w:val="auto"/>
          <w:szCs w:val="21"/>
        </w:rPr>
        <w:t>多项选择题（从下列各题备选答案中选出所有正确答案，并将答案写在本题答案栏相应位置。答案选错或未选全者，该题不得分。每题</w:t>
      </w:r>
      <w:r>
        <w:rPr>
          <w:rFonts w:hint="eastAsia"/>
          <w:b/>
          <w:color w:val="auto"/>
          <w:szCs w:val="21"/>
          <w:highlight w:val="none"/>
          <w:lang w:val="en-US" w:eastAsia="zh-CN"/>
        </w:rPr>
        <w:t>2</w:t>
      </w:r>
      <w:r>
        <w:rPr>
          <w:rFonts w:hint="eastAsia"/>
          <w:b/>
          <w:color w:val="auto"/>
          <w:szCs w:val="21"/>
          <w:highlight w:val="none"/>
        </w:rPr>
        <w:t>分，共1</w:t>
      </w:r>
      <w:r>
        <w:rPr>
          <w:rFonts w:hint="eastAsia"/>
          <w:b/>
          <w:color w:val="auto"/>
          <w:szCs w:val="21"/>
          <w:highlight w:val="none"/>
          <w:lang w:val="en-US" w:eastAsia="zh-CN"/>
        </w:rPr>
        <w:t>0</w:t>
      </w:r>
      <w:r>
        <w:rPr>
          <w:rFonts w:hint="eastAsia"/>
          <w:b/>
          <w:color w:val="auto"/>
          <w:szCs w:val="21"/>
          <w:highlight w:val="none"/>
        </w:rPr>
        <w:t>分</w:t>
      </w:r>
      <w:r>
        <w:rPr>
          <w:rFonts w:hint="eastAsia"/>
          <w:b/>
          <w:color w:val="auto"/>
          <w:szCs w:val="21"/>
        </w:rPr>
        <w:t>）</w:t>
      </w:r>
    </w:p>
    <w:p>
      <w:pPr>
        <w:widowControl w:val="0"/>
        <w:numPr>
          <w:ilvl w:val="0"/>
          <w:numId w:val="0"/>
        </w:numPr>
        <w:jc w:val="both"/>
        <w:rPr>
          <w:rFonts w:hint="eastAsia"/>
          <w:color w:val="auto"/>
          <w:lang w:val="en-US" w:eastAsia="zh-CN"/>
        </w:rPr>
      </w:pPr>
      <w:r>
        <w:rPr>
          <w:rFonts w:hint="eastAsia"/>
          <w:color w:val="auto"/>
          <w:lang w:val="en-US" w:eastAsia="zh-CN"/>
        </w:rPr>
        <w:t>1.下列有关保证程度的说法中，正确的有（    ）。</w:t>
      </w:r>
    </w:p>
    <w:p>
      <w:pPr>
        <w:ind w:firstLine="210" w:firstLineChars="100"/>
        <w:rPr>
          <w:rFonts w:hint="eastAsia"/>
          <w:color w:val="auto"/>
          <w:lang w:val="en-US" w:eastAsia="zh-CN"/>
        </w:rPr>
      </w:pPr>
      <w:r>
        <w:rPr>
          <w:rFonts w:hint="eastAsia"/>
          <w:color w:val="auto"/>
          <w:lang w:val="en-US" w:eastAsia="zh-CN"/>
        </w:rPr>
        <w:t>A. 其他鉴证业务可能是合理保证；</w:t>
      </w:r>
    </w:p>
    <w:p>
      <w:pPr>
        <w:ind w:firstLine="210" w:firstLineChars="100"/>
        <w:rPr>
          <w:rFonts w:hint="eastAsia"/>
          <w:color w:val="auto"/>
          <w:lang w:val="en-US" w:eastAsia="zh-CN"/>
        </w:rPr>
      </w:pPr>
      <w:r>
        <w:rPr>
          <w:rFonts w:hint="eastAsia"/>
          <w:color w:val="auto"/>
          <w:lang w:val="en-US" w:eastAsia="zh-CN"/>
        </w:rPr>
        <w:t>B. 财务报表审阅是有限保证的鉴证业务；</w:t>
      </w:r>
    </w:p>
    <w:p>
      <w:pPr>
        <w:ind w:firstLine="210" w:firstLineChars="100"/>
        <w:rPr>
          <w:rFonts w:hint="eastAsia"/>
          <w:color w:val="auto"/>
          <w:lang w:val="en-US" w:eastAsia="zh-CN"/>
        </w:rPr>
      </w:pPr>
      <w:r>
        <w:rPr>
          <w:rFonts w:hint="eastAsia"/>
          <w:color w:val="auto"/>
          <w:lang w:val="en-US" w:eastAsia="zh-CN"/>
        </w:rPr>
        <w:t>C. 对财务信息执行商定程序无需提供任何保证；</w:t>
      </w:r>
    </w:p>
    <w:p>
      <w:pPr>
        <w:ind w:firstLine="210" w:firstLineChars="100"/>
        <w:rPr>
          <w:rFonts w:hint="eastAsia"/>
          <w:color w:val="auto"/>
          <w:lang w:val="en-US" w:eastAsia="zh-CN"/>
        </w:rPr>
      </w:pPr>
      <w:r>
        <w:rPr>
          <w:rFonts w:hint="eastAsia"/>
          <w:color w:val="auto"/>
          <w:lang w:val="en-US" w:eastAsia="zh-CN"/>
        </w:rPr>
        <w:t>D. 有限保证的鉴证业务所需证据数量比合理保证的鉴证业务所需证据数量少。</w:t>
      </w:r>
    </w:p>
    <w:p>
      <w:pPr>
        <w:widowControl w:val="0"/>
        <w:numPr>
          <w:ilvl w:val="0"/>
          <w:numId w:val="0"/>
        </w:numPr>
        <w:jc w:val="both"/>
        <w:rPr>
          <w:rFonts w:hint="eastAsia" w:ascii="Calibri" w:hAnsi="Calibri" w:eastAsia="宋体" w:cs="Times New Roman"/>
          <w:color w:val="auto"/>
          <w:lang w:val="en-US" w:eastAsia="zh-CN"/>
        </w:rPr>
      </w:pPr>
      <w:r>
        <w:rPr>
          <w:rFonts w:hint="eastAsia" w:ascii="Calibri" w:hAnsi="Calibri" w:eastAsia="宋体" w:cs="Times New Roman"/>
          <w:color w:val="auto"/>
          <w:lang w:val="en-US" w:eastAsia="zh-CN"/>
        </w:rPr>
        <w:t>2.同一被审计单位，审计师A和审计师B先后确定了重要性水平为10000元和5000元。下列各项中，表述正确的是（   ）。</w:t>
      </w:r>
    </w:p>
    <w:p>
      <w:pPr>
        <w:widowControl w:val="0"/>
        <w:numPr>
          <w:ilvl w:val="0"/>
          <w:numId w:val="0"/>
        </w:numPr>
        <w:ind w:firstLine="210" w:firstLineChars="100"/>
        <w:jc w:val="both"/>
        <w:rPr>
          <w:rFonts w:hint="eastAsia" w:ascii="Calibri" w:hAnsi="Calibri" w:eastAsia="宋体" w:cs="Times New Roman"/>
          <w:color w:val="auto"/>
          <w:lang w:val="en-US" w:eastAsia="zh-CN"/>
        </w:rPr>
      </w:pPr>
      <w:r>
        <w:rPr>
          <w:rFonts w:hint="eastAsia" w:ascii="Calibri" w:hAnsi="Calibri" w:eastAsia="宋体" w:cs="Times New Roman"/>
          <w:color w:val="auto"/>
          <w:lang w:val="en-US" w:eastAsia="zh-CN"/>
        </w:rPr>
        <w:t>A. 审计师A的审计风险要小于审计师B；</w:t>
      </w:r>
    </w:p>
    <w:p>
      <w:pPr>
        <w:widowControl w:val="0"/>
        <w:numPr>
          <w:ilvl w:val="0"/>
          <w:numId w:val="0"/>
        </w:numPr>
        <w:ind w:firstLine="210" w:firstLineChars="100"/>
        <w:jc w:val="both"/>
        <w:rPr>
          <w:rFonts w:hint="eastAsia" w:ascii="Calibri" w:hAnsi="Calibri" w:eastAsia="宋体" w:cs="Times New Roman"/>
          <w:color w:val="auto"/>
          <w:lang w:val="en-US" w:eastAsia="zh-CN"/>
        </w:rPr>
      </w:pPr>
      <w:r>
        <w:rPr>
          <w:rFonts w:hint="eastAsia" w:ascii="Calibri" w:hAnsi="Calibri" w:eastAsia="宋体" w:cs="Times New Roman"/>
          <w:color w:val="auto"/>
          <w:lang w:val="en-US" w:eastAsia="zh-CN"/>
        </w:rPr>
        <w:t>B. 对于审计师A来说，意味着低于10000元的错报不会影响到财务报表使用者的决策，此时CPA需要通过执行有关审计程序合理保证能发现高于10000元的错报；</w:t>
      </w:r>
    </w:p>
    <w:p>
      <w:pPr>
        <w:widowControl w:val="0"/>
        <w:numPr>
          <w:ilvl w:val="0"/>
          <w:numId w:val="0"/>
        </w:numPr>
        <w:ind w:firstLine="210" w:firstLineChars="100"/>
        <w:jc w:val="both"/>
        <w:rPr>
          <w:rFonts w:hint="eastAsia" w:ascii="Calibri" w:hAnsi="Calibri" w:eastAsia="宋体" w:cs="Times New Roman"/>
          <w:color w:val="auto"/>
          <w:lang w:val="en-US" w:eastAsia="zh-CN"/>
        </w:rPr>
      </w:pPr>
      <w:r>
        <w:rPr>
          <w:rFonts w:hint="eastAsia" w:ascii="Calibri" w:hAnsi="Calibri" w:eastAsia="宋体" w:cs="Times New Roman"/>
          <w:color w:val="auto"/>
          <w:lang w:val="en-US" w:eastAsia="zh-CN"/>
        </w:rPr>
        <w:t>C. 对于审计师B来说，只需要通过执行有关审计程序合理保证能发现金额在10000元以上的错报就可以了；</w:t>
      </w:r>
    </w:p>
    <w:p>
      <w:pPr>
        <w:widowControl w:val="0"/>
        <w:numPr>
          <w:ilvl w:val="0"/>
          <w:numId w:val="0"/>
        </w:numPr>
        <w:ind w:firstLine="210" w:firstLineChars="100"/>
        <w:jc w:val="both"/>
        <w:rPr>
          <w:rFonts w:hint="eastAsia" w:ascii="Calibri" w:hAnsi="Calibri" w:eastAsia="宋体" w:cs="Times New Roman"/>
          <w:color w:val="auto"/>
          <w:lang w:val="en-US" w:eastAsia="zh-CN"/>
        </w:rPr>
      </w:pPr>
      <w:r>
        <w:rPr>
          <w:rFonts w:hint="eastAsia" w:ascii="Calibri" w:hAnsi="Calibri" w:eastAsia="宋体" w:cs="Times New Roman"/>
          <w:color w:val="auto"/>
          <w:lang w:val="en-US" w:eastAsia="zh-CN"/>
        </w:rPr>
        <w:t>D. 重要性水平越低，则审计风险越高，就越要求注册会计师收集更多更有效的审计证据，以将审计风险降低至可接受的低水平。</w:t>
      </w:r>
    </w:p>
    <w:p>
      <w:pPr>
        <w:widowControl w:val="0"/>
        <w:numPr>
          <w:ilvl w:val="0"/>
          <w:numId w:val="0"/>
        </w:numPr>
        <w:jc w:val="both"/>
        <w:rPr>
          <w:rFonts w:hint="eastAsia"/>
          <w:color w:val="auto"/>
          <w:lang w:val="en-US" w:eastAsia="zh-CN"/>
        </w:rPr>
      </w:pPr>
      <w:r>
        <w:rPr>
          <w:rFonts w:hint="eastAsia" w:ascii="Calibri" w:hAnsi="Calibri" w:eastAsia="宋体" w:cs="Times New Roman"/>
          <w:color w:val="auto"/>
          <w:lang w:val="en-US" w:eastAsia="zh-CN"/>
        </w:rPr>
        <w:t>3.</w:t>
      </w:r>
      <w:r>
        <w:rPr>
          <w:rFonts w:hint="eastAsia"/>
          <w:color w:val="auto"/>
          <w:lang w:val="en-US" w:eastAsia="zh-CN"/>
        </w:rPr>
        <w:t>下列各项中，有关控制测试目的的表述不正确的有（  ）</w:t>
      </w:r>
    </w:p>
    <w:p>
      <w:pPr>
        <w:widowControl w:val="0"/>
        <w:numPr>
          <w:ilvl w:val="0"/>
          <w:numId w:val="0"/>
        </w:numPr>
        <w:ind w:firstLine="210" w:firstLineChars="100"/>
        <w:jc w:val="both"/>
        <w:rPr>
          <w:rFonts w:hint="eastAsia"/>
          <w:color w:val="auto"/>
          <w:lang w:val="en-US" w:eastAsia="zh-CN"/>
        </w:rPr>
      </w:pPr>
      <w:r>
        <w:rPr>
          <w:rFonts w:hint="eastAsia"/>
          <w:color w:val="auto"/>
          <w:lang w:val="en-US" w:eastAsia="zh-CN"/>
        </w:rPr>
        <w:t>A. 控制测试旨在评价内部控制在防止或发现并纠正认定层次重大错报方面的运行有效性；</w:t>
      </w:r>
    </w:p>
    <w:p>
      <w:pPr>
        <w:widowControl w:val="0"/>
        <w:numPr>
          <w:ilvl w:val="0"/>
          <w:numId w:val="0"/>
        </w:numPr>
        <w:ind w:firstLine="210" w:firstLineChars="100"/>
        <w:jc w:val="both"/>
        <w:rPr>
          <w:rFonts w:hint="eastAsia"/>
          <w:color w:val="auto"/>
          <w:lang w:val="en-US" w:eastAsia="zh-CN"/>
        </w:rPr>
      </w:pPr>
      <w:r>
        <w:rPr>
          <w:rFonts w:hint="eastAsia"/>
          <w:color w:val="auto"/>
          <w:lang w:val="en-US" w:eastAsia="zh-CN"/>
        </w:rPr>
        <w:t>B. 控制测试旨在发现认定层次发生错报的金额；</w:t>
      </w:r>
    </w:p>
    <w:p>
      <w:pPr>
        <w:widowControl w:val="0"/>
        <w:numPr>
          <w:ilvl w:val="0"/>
          <w:numId w:val="0"/>
        </w:numPr>
        <w:ind w:firstLine="210" w:firstLineChars="100"/>
        <w:jc w:val="both"/>
        <w:rPr>
          <w:rFonts w:hint="eastAsia"/>
          <w:color w:val="auto"/>
          <w:lang w:val="en-US" w:eastAsia="zh-CN"/>
        </w:rPr>
      </w:pPr>
      <w:r>
        <w:rPr>
          <w:rFonts w:hint="eastAsia"/>
          <w:color w:val="auto"/>
          <w:lang w:val="en-US" w:eastAsia="zh-CN"/>
        </w:rPr>
        <w:t>C. 控制测试旨在验证实质性程序结果的可靠性；</w:t>
      </w:r>
    </w:p>
    <w:p>
      <w:pPr>
        <w:widowControl w:val="0"/>
        <w:numPr>
          <w:ilvl w:val="0"/>
          <w:numId w:val="0"/>
        </w:numPr>
        <w:ind w:firstLine="210" w:firstLineChars="100"/>
        <w:jc w:val="both"/>
        <w:rPr>
          <w:rFonts w:hint="eastAsia"/>
          <w:color w:val="auto"/>
          <w:lang w:val="en-US" w:eastAsia="zh-CN"/>
        </w:rPr>
      </w:pPr>
      <w:r>
        <w:rPr>
          <w:rFonts w:hint="eastAsia"/>
          <w:color w:val="auto"/>
          <w:lang w:val="en-US" w:eastAsia="zh-CN"/>
        </w:rPr>
        <w:t>D. 控制测试旨在确定控制是否得到执行。</w:t>
      </w:r>
    </w:p>
    <w:p>
      <w:pPr>
        <w:numPr>
          <w:ilvl w:val="0"/>
          <w:numId w:val="0"/>
        </w:numPr>
        <w:rPr>
          <w:rFonts w:hint="eastAsia"/>
          <w:color w:val="auto"/>
          <w:lang w:val="en-US" w:eastAsia="zh-CN"/>
        </w:rPr>
      </w:pPr>
      <w:r>
        <w:rPr>
          <w:rFonts w:hint="eastAsia"/>
          <w:color w:val="auto"/>
          <w:lang w:val="en-US" w:eastAsia="zh-CN"/>
        </w:rPr>
        <w:t>4.下列各项中，针对鉴证销售交易发生认定的审计目标，注册会计师应关注的有（  ）</w:t>
      </w:r>
    </w:p>
    <w:p>
      <w:pPr>
        <w:numPr>
          <w:ilvl w:val="0"/>
          <w:numId w:val="0"/>
        </w:numPr>
        <w:ind w:firstLine="210" w:firstLineChars="100"/>
        <w:rPr>
          <w:rFonts w:hint="default"/>
          <w:color w:val="auto"/>
          <w:lang w:val="en-US" w:eastAsia="zh-CN"/>
        </w:rPr>
      </w:pPr>
      <w:r>
        <w:rPr>
          <w:rFonts w:hint="eastAsia"/>
          <w:color w:val="auto"/>
          <w:lang w:val="en-US" w:eastAsia="zh-CN"/>
        </w:rPr>
        <w:t>A. 向虚构的客户发货并登记入账；</w:t>
      </w:r>
    </w:p>
    <w:p>
      <w:pPr>
        <w:numPr>
          <w:ilvl w:val="0"/>
          <w:numId w:val="0"/>
        </w:numPr>
        <w:ind w:firstLine="210" w:firstLineChars="100"/>
        <w:rPr>
          <w:rFonts w:hint="eastAsia"/>
          <w:color w:val="auto"/>
          <w:lang w:val="en-US" w:eastAsia="zh-CN"/>
        </w:rPr>
      </w:pPr>
      <w:r>
        <w:rPr>
          <w:rFonts w:hint="eastAsia"/>
          <w:color w:val="auto"/>
          <w:lang w:val="en-US" w:eastAsia="zh-CN"/>
        </w:rPr>
        <w:t>B. 未曾发货却已将销售交易登记入账；</w:t>
      </w:r>
    </w:p>
    <w:p>
      <w:pPr>
        <w:numPr>
          <w:ilvl w:val="0"/>
          <w:numId w:val="0"/>
        </w:numPr>
        <w:ind w:firstLine="210" w:firstLineChars="100"/>
        <w:rPr>
          <w:rFonts w:hint="default"/>
          <w:color w:val="auto"/>
          <w:lang w:val="en-US" w:eastAsia="zh-CN"/>
        </w:rPr>
      </w:pPr>
      <w:r>
        <w:rPr>
          <w:rFonts w:hint="eastAsia"/>
          <w:color w:val="auto"/>
          <w:lang w:val="en-US" w:eastAsia="zh-CN"/>
        </w:rPr>
        <w:t>C. 已发货的交易未曾登记入账；</w:t>
      </w:r>
    </w:p>
    <w:p>
      <w:pPr>
        <w:numPr>
          <w:ilvl w:val="0"/>
          <w:numId w:val="0"/>
        </w:numPr>
        <w:ind w:firstLine="210" w:firstLineChars="100"/>
        <w:rPr>
          <w:rFonts w:hint="default"/>
          <w:color w:val="auto"/>
          <w:lang w:val="en-US" w:eastAsia="zh-CN"/>
        </w:rPr>
      </w:pPr>
      <w:r>
        <w:rPr>
          <w:rFonts w:hint="eastAsia"/>
          <w:color w:val="auto"/>
          <w:lang w:val="en-US" w:eastAsia="zh-CN"/>
        </w:rPr>
        <w:t>D. 销售交易重复入账。</w:t>
      </w:r>
    </w:p>
    <w:p>
      <w:pPr>
        <w:widowControl w:val="0"/>
        <w:numPr>
          <w:ilvl w:val="0"/>
          <w:numId w:val="0"/>
        </w:numPr>
        <w:jc w:val="both"/>
        <w:rPr>
          <w:rFonts w:hint="default"/>
          <w:color w:val="auto"/>
          <w:lang w:val="en-US" w:eastAsia="zh-CN"/>
        </w:rPr>
      </w:pPr>
      <w:r>
        <w:rPr>
          <w:rFonts w:hint="eastAsia" w:ascii="Calibri" w:hAnsi="Calibri" w:eastAsia="宋体" w:cs="Times New Roman"/>
          <w:color w:val="auto"/>
          <w:lang w:val="en-US" w:eastAsia="zh-CN"/>
        </w:rPr>
        <w:t>5.</w:t>
      </w:r>
      <w:r>
        <w:rPr>
          <w:rFonts w:hint="default"/>
          <w:color w:val="auto"/>
          <w:lang w:val="en-US" w:eastAsia="zh-CN"/>
        </w:rPr>
        <w:t>下列各项审计程序中，注册会计师在被审计单位存货盘点现场执行监盘时应当实施的有（     ）。</w:t>
      </w:r>
    </w:p>
    <w:p>
      <w:pPr>
        <w:widowControl w:val="0"/>
        <w:numPr>
          <w:ilvl w:val="0"/>
          <w:numId w:val="0"/>
        </w:numPr>
        <w:ind w:firstLine="210" w:firstLineChars="100"/>
        <w:jc w:val="both"/>
        <w:rPr>
          <w:rFonts w:hint="default"/>
          <w:color w:val="auto"/>
          <w:lang w:val="en-US" w:eastAsia="zh-CN"/>
        </w:rPr>
      </w:pPr>
      <w:r>
        <w:rPr>
          <w:rFonts w:hint="default"/>
          <w:color w:val="auto"/>
          <w:lang w:val="en-US" w:eastAsia="zh-CN"/>
        </w:rPr>
        <w:t xml:space="preserve">A.评价管理层用以记录和控制存货盘点结果的指令和程序 </w:t>
      </w:r>
    </w:p>
    <w:p>
      <w:pPr>
        <w:widowControl w:val="0"/>
        <w:numPr>
          <w:ilvl w:val="0"/>
          <w:numId w:val="0"/>
        </w:numPr>
        <w:ind w:firstLine="210" w:firstLineChars="100"/>
        <w:jc w:val="both"/>
        <w:rPr>
          <w:rFonts w:hint="default"/>
          <w:color w:val="auto"/>
          <w:lang w:val="en-US" w:eastAsia="zh-CN"/>
        </w:rPr>
      </w:pPr>
      <w:r>
        <w:rPr>
          <w:rFonts w:hint="default"/>
          <w:color w:val="auto"/>
          <w:lang w:val="en-US" w:eastAsia="zh-CN"/>
        </w:rPr>
        <w:t>B.执行抽盘</w:t>
      </w:r>
    </w:p>
    <w:p>
      <w:pPr>
        <w:widowControl w:val="0"/>
        <w:numPr>
          <w:ilvl w:val="0"/>
          <w:numId w:val="0"/>
        </w:numPr>
        <w:ind w:firstLine="210" w:firstLineChars="100"/>
        <w:jc w:val="both"/>
        <w:rPr>
          <w:rFonts w:hint="default"/>
          <w:color w:val="auto"/>
          <w:lang w:val="en-US" w:eastAsia="zh-CN"/>
        </w:rPr>
      </w:pPr>
      <w:r>
        <w:rPr>
          <w:rFonts w:hint="default"/>
          <w:color w:val="auto"/>
          <w:lang w:val="en-US" w:eastAsia="zh-CN"/>
        </w:rPr>
        <w:t>C.观察管理层制定的盘点程序的执行情况</w:t>
      </w:r>
    </w:p>
    <w:p>
      <w:pPr>
        <w:widowControl w:val="0"/>
        <w:numPr>
          <w:ilvl w:val="0"/>
          <w:numId w:val="0"/>
        </w:numPr>
        <w:ind w:firstLine="210" w:firstLineChars="100"/>
        <w:jc w:val="both"/>
        <w:rPr>
          <w:rFonts w:hint="default"/>
          <w:color w:val="auto"/>
          <w:lang w:val="en-US" w:eastAsia="zh-CN"/>
        </w:rPr>
      </w:pPr>
      <w:r>
        <w:rPr>
          <w:rFonts w:hint="default"/>
          <w:color w:val="auto"/>
          <w:lang w:val="en-US" w:eastAsia="zh-CN"/>
        </w:rPr>
        <w:t>D.检查存货</w:t>
      </w:r>
    </w:p>
    <w:p>
      <w:pPr>
        <w:numPr>
          <w:ilvl w:val="0"/>
          <w:numId w:val="0"/>
        </w:numPr>
        <w:rPr>
          <w:rFonts w:hint="default"/>
          <w:color w:val="auto"/>
          <w:lang w:val="en-US" w:eastAsia="zh-CN"/>
        </w:rPr>
      </w:pPr>
    </w:p>
    <w:p>
      <w:pPr>
        <w:widowControl w:val="0"/>
        <w:numPr>
          <w:ilvl w:val="0"/>
          <w:numId w:val="0"/>
        </w:numPr>
        <w:jc w:val="both"/>
        <w:rPr>
          <w:rFonts w:hint="eastAsia" w:ascii="Calibri" w:hAnsi="Calibri" w:eastAsia="宋体" w:cs="Times New Roman"/>
          <w:b/>
          <w:bCs/>
          <w:color w:val="auto"/>
          <w:lang w:val="en-US" w:eastAsia="zh-CN"/>
        </w:rPr>
      </w:pPr>
      <w:r>
        <w:rPr>
          <w:rFonts w:hint="eastAsia" w:ascii="Calibri" w:hAnsi="Calibri" w:eastAsia="宋体" w:cs="Times New Roman"/>
          <w:b/>
          <w:bCs/>
          <w:color w:val="auto"/>
          <w:lang w:val="en-US" w:eastAsia="zh-CN"/>
        </w:rPr>
        <w:t>四、简答题（回答要点并简明扼要作解释。第1题5分，第2题6分，第3题6分，共计17分）</w:t>
      </w:r>
    </w:p>
    <w:p>
      <w:pPr>
        <w:widowControl w:val="0"/>
        <w:numPr>
          <w:ilvl w:val="0"/>
          <w:numId w:val="0"/>
        </w:numPr>
        <w:jc w:val="both"/>
        <w:rPr>
          <w:rFonts w:hint="eastAsia" w:ascii="Calibri" w:hAnsi="Calibri" w:eastAsia="宋体" w:cs="Times New Roman"/>
          <w:color w:val="auto"/>
          <w:lang w:val="en-US" w:eastAsia="zh-CN"/>
        </w:rPr>
      </w:pPr>
    </w:p>
    <w:p>
      <w:pPr>
        <w:widowControl w:val="0"/>
        <w:numPr>
          <w:ilvl w:val="0"/>
          <w:numId w:val="2"/>
        </w:numPr>
        <w:jc w:val="both"/>
        <w:rPr>
          <w:rFonts w:hint="default"/>
          <w:color w:val="auto"/>
          <w:lang w:val="en-US" w:eastAsia="zh-CN"/>
        </w:rPr>
      </w:pPr>
      <w:r>
        <w:rPr>
          <w:rFonts w:hint="eastAsia"/>
          <w:color w:val="auto"/>
          <w:lang w:val="en-US" w:eastAsia="zh-CN"/>
        </w:rPr>
        <w:t>什么是风险评估？风险评估程序有哪些？</w:t>
      </w:r>
    </w:p>
    <w:p>
      <w:pPr>
        <w:widowControl w:val="0"/>
        <w:numPr>
          <w:ilvl w:val="0"/>
          <w:numId w:val="0"/>
        </w:numPr>
        <w:jc w:val="both"/>
        <w:rPr>
          <w:rFonts w:hint="eastAsia"/>
          <w:color w:val="auto"/>
          <w:lang w:val="en-US" w:eastAsia="zh-CN"/>
        </w:rPr>
      </w:pPr>
    </w:p>
    <w:p>
      <w:pPr>
        <w:widowControl w:val="0"/>
        <w:numPr>
          <w:ilvl w:val="0"/>
          <w:numId w:val="0"/>
        </w:numPr>
        <w:jc w:val="both"/>
        <w:rPr>
          <w:rFonts w:hint="eastAsia"/>
          <w:color w:val="auto"/>
          <w:lang w:val="en-US" w:eastAsia="zh-CN"/>
        </w:rPr>
      </w:pPr>
    </w:p>
    <w:p>
      <w:pPr>
        <w:widowControl w:val="0"/>
        <w:numPr>
          <w:ilvl w:val="0"/>
          <w:numId w:val="0"/>
        </w:numPr>
        <w:jc w:val="both"/>
        <w:rPr>
          <w:rFonts w:hint="eastAsia"/>
          <w:color w:val="auto"/>
          <w:lang w:val="en-US" w:eastAsia="zh-CN"/>
        </w:rPr>
      </w:pPr>
    </w:p>
    <w:p>
      <w:pPr>
        <w:widowControl w:val="0"/>
        <w:numPr>
          <w:ilvl w:val="0"/>
          <w:numId w:val="0"/>
        </w:numPr>
        <w:jc w:val="both"/>
        <w:rPr>
          <w:rFonts w:hint="eastAsia"/>
          <w:color w:val="auto"/>
          <w:lang w:val="en-US" w:eastAsia="zh-CN"/>
        </w:rPr>
      </w:pPr>
    </w:p>
    <w:p>
      <w:pPr>
        <w:widowControl w:val="0"/>
        <w:numPr>
          <w:ilvl w:val="0"/>
          <w:numId w:val="0"/>
        </w:numPr>
        <w:jc w:val="both"/>
        <w:rPr>
          <w:rFonts w:hint="eastAsia"/>
          <w:color w:val="auto"/>
          <w:lang w:val="en-US" w:eastAsia="zh-CN"/>
        </w:rPr>
      </w:pPr>
    </w:p>
    <w:p>
      <w:pPr>
        <w:widowControl w:val="0"/>
        <w:numPr>
          <w:ilvl w:val="0"/>
          <w:numId w:val="0"/>
        </w:numPr>
        <w:jc w:val="both"/>
        <w:rPr>
          <w:rFonts w:hint="eastAsia"/>
          <w:color w:val="auto"/>
          <w:lang w:val="en-US" w:eastAsia="zh-CN"/>
        </w:rPr>
      </w:pPr>
    </w:p>
    <w:p>
      <w:pPr>
        <w:widowControl w:val="0"/>
        <w:numPr>
          <w:ilvl w:val="0"/>
          <w:numId w:val="0"/>
        </w:numPr>
        <w:jc w:val="both"/>
        <w:rPr>
          <w:rFonts w:hint="eastAsia"/>
          <w:color w:val="auto"/>
          <w:lang w:val="en-US" w:eastAsia="zh-CN"/>
        </w:rPr>
      </w:pPr>
    </w:p>
    <w:p>
      <w:pPr>
        <w:widowControl w:val="0"/>
        <w:numPr>
          <w:ilvl w:val="0"/>
          <w:numId w:val="0"/>
        </w:numPr>
        <w:jc w:val="both"/>
        <w:rPr>
          <w:rFonts w:hint="eastAsia"/>
          <w:color w:val="auto"/>
          <w:lang w:val="en-US" w:eastAsia="zh-CN"/>
        </w:rPr>
      </w:pPr>
    </w:p>
    <w:p>
      <w:pPr>
        <w:widowControl w:val="0"/>
        <w:numPr>
          <w:ilvl w:val="0"/>
          <w:numId w:val="0"/>
        </w:numPr>
        <w:jc w:val="both"/>
        <w:rPr>
          <w:rFonts w:hint="eastAsia"/>
          <w:color w:val="auto"/>
          <w:lang w:val="en-US" w:eastAsia="zh-CN"/>
        </w:rPr>
      </w:pPr>
      <w:r>
        <w:rPr>
          <w:rFonts w:hint="eastAsia"/>
          <w:color w:val="auto"/>
          <w:lang w:val="en-US" w:eastAsia="zh-CN"/>
        </w:rPr>
        <w:t>2、不同类型的审计证据的可靠性存在一定的差异。比较下列几组数据，说明每一组证据中哪个类型的证据比较可靠，并说明你的理由：</w:t>
      </w:r>
    </w:p>
    <w:p>
      <w:pPr>
        <w:widowControl w:val="0"/>
        <w:numPr>
          <w:ilvl w:val="0"/>
          <w:numId w:val="0"/>
        </w:numPr>
        <w:jc w:val="both"/>
        <w:rPr>
          <w:rFonts w:hint="eastAsia"/>
          <w:color w:val="auto"/>
          <w:lang w:val="en-US" w:eastAsia="zh-CN"/>
        </w:rPr>
      </w:pPr>
      <w:r>
        <w:rPr>
          <w:rFonts w:hint="eastAsia"/>
          <w:color w:val="auto"/>
          <w:lang w:val="en-US" w:eastAsia="zh-CN"/>
        </w:rPr>
        <w:t>（1）银行询证函与银行对账单；</w:t>
      </w:r>
    </w:p>
    <w:p>
      <w:pPr>
        <w:widowControl w:val="0"/>
        <w:numPr>
          <w:ilvl w:val="0"/>
          <w:numId w:val="0"/>
        </w:numPr>
        <w:jc w:val="both"/>
        <w:rPr>
          <w:rFonts w:hint="eastAsia"/>
          <w:color w:val="auto"/>
          <w:lang w:val="en-US" w:eastAsia="zh-CN"/>
        </w:rPr>
      </w:pPr>
      <w:r>
        <w:rPr>
          <w:rFonts w:hint="eastAsia"/>
          <w:color w:val="auto"/>
          <w:lang w:val="en-US" w:eastAsia="zh-CN"/>
        </w:rPr>
        <w:t>（2）银行对账单与发货单；</w:t>
      </w:r>
    </w:p>
    <w:p>
      <w:pPr>
        <w:widowControl w:val="0"/>
        <w:numPr>
          <w:ilvl w:val="0"/>
          <w:numId w:val="0"/>
        </w:numPr>
        <w:jc w:val="both"/>
        <w:rPr>
          <w:rFonts w:hint="default"/>
          <w:color w:val="auto"/>
          <w:lang w:val="en-US" w:eastAsia="zh-CN"/>
        </w:rPr>
      </w:pPr>
      <w:r>
        <w:rPr>
          <w:rFonts w:hint="eastAsia"/>
          <w:color w:val="auto"/>
          <w:lang w:val="en-US" w:eastAsia="zh-CN"/>
        </w:rPr>
        <w:t>（3）律师询证函回函、注册会计师与律师交谈取得的证据。</w:t>
      </w:r>
    </w:p>
    <w:p>
      <w:pPr>
        <w:widowControl w:val="0"/>
        <w:numPr>
          <w:ilvl w:val="0"/>
          <w:numId w:val="0"/>
        </w:numPr>
        <w:jc w:val="both"/>
        <w:rPr>
          <w:rFonts w:hint="default"/>
          <w:color w:val="auto"/>
          <w:lang w:val="en-US" w:eastAsia="zh-CN"/>
        </w:rPr>
      </w:pPr>
    </w:p>
    <w:p>
      <w:pPr>
        <w:widowControl w:val="0"/>
        <w:numPr>
          <w:ilvl w:val="0"/>
          <w:numId w:val="0"/>
        </w:numPr>
        <w:jc w:val="both"/>
        <w:rPr>
          <w:rFonts w:hint="default"/>
          <w:color w:val="auto"/>
          <w:lang w:val="en-US" w:eastAsia="zh-CN"/>
        </w:rPr>
      </w:pPr>
    </w:p>
    <w:p>
      <w:pPr>
        <w:widowControl w:val="0"/>
        <w:numPr>
          <w:ilvl w:val="0"/>
          <w:numId w:val="0"/>
        </w:numPr>
        <w:jc w:val="both"/>
        <w:rPr>
          <w:rFonts w:hint="default"/>
          <w:color w:val="auto"/>
          <w:lang w:val="en-US" w:eastAsia="zh-CN"/>
        </w:rPr>
      </w:pPr>
    </w:p>
    <w:p>
      <w:pPr>
        <w:widowControl w:val="0"/>
        <w:numPr>
          <w:ilvl w:val="0"/>
          <w:numId w:val="0"/>
        </w:numPr>
        <w:jc w:val="both"/>
        <w:rPr>
          <w:rFonts w:hint="default"/>
          <w:color w:val="auto"/>
          <w:lang w:val="en-US" w:eastAsia="zh-CN"/>
        </w:rPr>
      </w:pPr>
    </w:p>
    <w:p>
      <w:pPr>
        <w:widowControl w:val="0"/>
        <w:numPr>
          <w:ilvl w:val="0"/>
          <w:numId w:val="0"/>
        </w:numPr>
        <w:jc w:val="both"/>
        <w:rPr>
          <w:rFonts w:hint="default"/>
          <w:color w:val="auto"/>
          <w:lang w:val="en-US" w:eastAsia="zh-CN"/>
        </w:rPr>
      </w:pPr>
    </w:p>
    <w:p>
      <w:pPr>
        <w:widowControl w:val="0"/>
        <w:numPr>
          <w:ilvl w:val="0"/>
          <w:numId w:val="0"/>
        </w:numPr>
        <w:jc w:val="both"/>
        <w:rPr>
          <w:rFonts w:hint="default"/>
          <w:color w:val="auto"/>
          <w:lang w:val="en-US" w:eastAsia="zh-CN"/>
        </w:rPr>
      </w:pPr>
    </w:p>
    <w:p>
      <w:pPr>
        <w:widowControl w:val="0"/>
        <w:numPr>
          <w:ilvl w:val="0"/>
          <w:numId w:val="0"/>
        </w:numPr>
        <w:jc w:val="both"/>
        <w:rPr>
          <w:rFonts w:hint="default"/>
          <w:color w:val="auto"/>
          <w:lang w:val="en-US" w:eastAsia="zh-CN"/>
        </w:rPr>
      </w:pPr>
    </w:p>
    <w:p>
      <w:pPr>
        <w:widowControl w:val="0"/>
        <w:numPr>
          <w:ilvl w:val="0"/>
          <w:numId w:val="0"/>
        </w:numPr>
        <w:jc w:val="both"/>
        <w:rPr>
          <w:rFonts w:hint="default"/>
          <w:color w:val="auto"/>
          <w:lang w:val="en-US" w:eastAsia="zh-CN"/>
        </w:rPr>
      </w:pPr>
    </w:p>
    <w:p>
      <w:pPr>
        <w:widowControl w:val="0"/>
        <w:numPr>
          <w:ilvl w:val="0"/>
          <w:numId w:val="0"/>
        </w:numPr>
        <w:jc w:val="both"/>
        <w:rPr>
          <w:rFonts w:hint="default"/>
          <w:color w:val="auto"/>
          <w:lang w:val="en-US" w:eastAsia="zh-CN"/>
        </w:rPr>
      </w:pPr>
    </w:p>
    <w:p>
      <w:pPr>
        <w:widowControl w:val="0"/>
        <w:numPr>
          <w:ilvl w:val="0"/>
          <w:numId w:val="0"/>
        </w:numPr>
        <w:jc w:val="both"/>
        <w:rPr>
          <w:rFonts w:hint="default"/>
          <w:color w:val="auto"/>
          <w:lang w:val="en-US" w:eastAsia="zh-CN"/>
        </w:rPr>
      </w:pPr>
    </w:p>
    <w:p>
      <w:pPr>
        <w:widowControl w:val="0"/>
        <w:numPr>
          <w:ilvl w:val="0"/>
          <w:numId w:val="0"/>
        </w:numPr>
        <w:jc w:val="both"/>
        <w:rPr>
          <w:rFonts w:hint="default"/>
          <w:color w:val="auto"/>
          <w:lang w:val="en-US" w:eastAsia="zh-CN"/>
        </w:rPr>
      </w:pPr>
    </w:p>
    <w:p>
      <w:pPr>
        <w:numPr>
          <w:numId w:val="0"/>
        </w:numPr>
        <w:ind w:leftChars="0"/>
        <w:rPr>
          <w:rFonts w:hint="eastAsia" w:ascii="Calibri" w:hAnsi="Calibri" w:eastAsia="宋体" w:cs="Times New Roman"/>
          <w:color w:val="auto"/>
          <w:lang w:val="en-US" w:eastAsia="zh-CN"/>
        </w:rPr>
      </w:pPr>
      <w:r>
        <w:rPr>
          <w:rFonts w:hint="eastAsia" w:ascii="Calibri" w:hAnsi="Calibri" w:eastAsia="宋体" w:cs="Times New Roman"/>
          <w:color w:val="auto"/>
          <w:lang w:val="en-US" w:eastAsia="zh-CN"/>
        </w:rPr>
        <w:t xml:space="preserve">3、什么是期后审计事项？期后事项的种类有哪些？ </w:t>
      </w:r>
    </w:p>
    <w:p>
      <w:pPr>
        <w:numPr>
          <w:numId w:val="0"/>
        </w:numPr>
        <w:ind w:leftChars="0"/>
        <w:rPr>
          <w:rFonts w:hint="eastAsia" w:ascii="Calibri" w:hAnsi="Calibri" w:eastAsia="宋体" w:cs="Times New Roman"/>
          <w:color w:val="auto"/>
          <w:lang w:val="en-US" w:eastAsia="zh-CN"/>
        </w:rPr>
      </w:pPr>
    </w:p>
    <w:p>
      <w:pPr>
        <w:numPr>
          <w:numId w:val="0"/>
        </w:numPr>
        <w:ind w:leftChars="0"/>
        <w:rPr>
          <w:rFonts w:hint="eastAsia" w:ascii="Calibri" w:hAnsi="Calibri" w:eastAsia="宋体" w:cs="Times New Roman"/>
          <w:color w:val="auto"/>
          <w:lang w:val="en-US" w:eastAsia="zh-CN"/>
        </w:rPr>
      </w:pPr>
    </w:p>
    <w:p>
      <w:pPr>
        <w:numPr>
          <w:numId w:val="0"/>
        </w:numPr>
        <w:ind w:leftChars="0"/>
        <w:rPr>
          <w:rFonts w:hint="eastAsia" w:ascii="Calibri" w:hAnsi="Calibri" w:eastAsia="宋体" w:cs="Times New Roman"/>
          <w:color w:val="auto"/>
          <w:lang w:val="en-US" w:eastAsia="zh-CN"/>
        </w:rPr>
      </w:pPr>
    </w:p>
    <w:p>
      <w:pPr>
        <w:numPr>
          <w:numId w:val="0"/>
        </w:numPr>
        <w:ind w:leftChars="0"/>
        <w:rPr>
          <w:rFonts w:hint="eastAsia" w:ascii="Calibri" w:hAnsi="Calibri" w:eastAsia="宋体" w:cs="Times New Roman"/>
          <w:color w:val="auto"/>
          <w:lang w:val="en-US" w:eastAsia="zh-CN"/>
        </w:rPr>
      </w:pPr>
    </w:p>
    <w:p>
      <w:pPr>
        <w:numPr>
          <w:numId w:val="0"/>
        </w:numPr>
        <w:ind w:leftChars="0"/>
        <w:rPr>
          <w:rFonts w:hint="eastAsia" w:ascii="Calibri" w:hAnsi="Calibri" w:eastAsia="宋体" w:cs="Times New Roman"/>
          <w:color w:val="auto"/>
          <w:lang w:val="en-US" w:eastAsia="zh-CN"/>
        </w:rPr>
      </w:pPr>
    </w:p>
    <w:p>
      <w:pPr>
        <w:numPr>
          <w:numId w:val="0"/>
        </w:numPr>
        <w:ind w:leftChars="0"/>
        <w:rPr>
          <w:rFonts w:hint="eastAsia" w:ascii="Calibri" w:hAnsi="Calibri" w:eastAsia="宋体" w:cs="Times New Roman"/>
          <w:color w:val="auto"/>
          <w:lang w:val="en-US" w:eastAsia="zh-CN"/>
        </w:rPr>
      </w:pPr>
    </w:p>
    <w:p>
      <w:pPr>
        <w:numPr>
          <w:numId w:val="0"/>
        </w:numPr>
        <w:ind w:leftChars="0"/>
        <w:rPr>
          <w:rFonts w:hint="eastAsia" w:ascii="Calibri" w:hAnsi="Calibri" w:eastAsia="宋体" w:cs="Times New Roman"/>
          <w:color w:val="auto"/>
          <w:lang w:val="en-US" w:eastAsia="zh-CN"/>
        </w:rPr>
      </w:pPr>
    </w:p>
    <w:p>
      <w:pPr>
        <w:numPr>
          <w:numId w:val="0"/>
        </w:numPr>
        <w:ind w:leftChars="0"/>
        <w:rPr>
          <w:rFonts w:hint="eastAsia" w:ascii="Calibri" w:hAnsi="Calibri" w:eastAsia="宋体" w:cs="Times New Roman"/>
          <w:color w:val="auto"/>
          <w:lang w:val="en-US" w:eastAsia="zh-CN"/>
        </w:rPr>
      </w:pPr>
    </w:p>
    <w:p>
      <w:pPr>
        <w:numPr>
          <w:numId w:val="0"/>
        </w:numPr>
        <w:ind w:leftChars="0"/>
        <w:rPr>
          <w:rFonts w:hint="eastAsia" w:ascii="Calibri" w:hAnsi="Calibri" w:eastAsia="宋体" w:cs="Times New Roman"/>
          <w:color w:val="auto"/>
          <w:lang w:val="en-US" w:eastAsia="zh-CN"/>
        </w:rPr>
      </w:pPr>
    </w:p>
    <w:p>
      <w:pPr>
        <w:numPr>
          <w:numId w:val="0"/>
        </w:numPr>
        <w:ind w:leftChars="0"/>
        <w:rPr>
          <w:rFonts w:hint="eastAsia" w:ascii="Calibri" w:hAnsi="Calibri" w:eastAsia="宋体" w:cs="Times New Roman"/>
          <w:color w:val="auto"/>
          <w:lang w:val="en-US" w:eastAsia="zh-CN"/>
        </w:rPr>
      </w:pPr>
    </w:p>
    <w:p>
      <w:pPr>
        <w:numPr>
          <w:numId w:val="0"/>
        </w:numPr>
        <w:ind w:leftChars="0"/>
        <w:rPr>
          <w:rFonts w:hint="eastAsia" w:ascii="Calibri" w:hAnsi="Calibri" w:eastAsia="宋体" w:cs="Times New Roman"/>
          <w:color w:val="auto"/>
          <w:lang w:val="en-US" w:eastAsia="zh-CN"/>
        </w:rPr>
      </w:pPr>
    </w:p>
    <w:p>
      <w:pPr>
        <w:numPr>
          <w:numId w:val="0"/>
        </w:numPr>
        <w:ind w:leftChars="0"/>
        <w:rPr>
          <w:rFonts w:hint="eastAsia" w:ascii="Calibri" w:hAnsi="Calibri" w:eastAsia="宋体" w:cs="Times New Roman"/>
          <w:color w:val="auto"/>
          <w:lang w:val="en-US" w:eastAsia="zh-CN"/>
        </w:rPr>
      </w:pPr>
    </w:p>
    <w:p>
      <w:pPr>
        <w:numPr>
          <w:numId w:val="0"/>
        </w:numPr>
        <w:ind w:leftChars="0"/>
        <w:rPr>
          <w:rFonts w:hint="eastAsia" w:ascii="Calibri" w:hAnsi="Calibri" w:eastAsia="宋体" w:cs="Times New Roman"/>
          <w:color w:val="auto"/>
          <w:lang w:val="en-US" w:eastAsia="zh-CN"/>
        </w:rPr>
      </w:pPr>
    </w:p>
    <w:p>
      <w:pPr>
        <w:numPr>
          <w:numId w:val="0"/>
        </w:numPr>
        <w:ind w:leftChars="0"/>
        <w:rPr>
          <w:rFonts w:hint="eastAsia" w:ascii="Calibri" w:hAnsi="Calibri" w:eastAsia="宋体" w:cs="Times New Roman"/>
          <w:color w:val="auto"/>
          <w:lang w:val="en-US" w:eastAsia="zh-CN"/>
        </w:rPr>
      </w:pPr>
    </w:p>
    <w:p>
      <w:pPr>
        <w:numPr>
          <w:numId w:val="0"/>
        </w:numPr>
        <w:ind w:leftChars="0"/>
        <w:rPr>
          <w:rFonts w:hint="eastAsia" w:ascii="Calibri" w:hAnsi="Calibri" w:eastAsia="宋体" w:cs="Times New Roman"/>
          <w:color w:val="auto"/>
          <w:lang w:val="en-US" w:eastAsia="zh-CN"/>
        </w:rPr>
      </w:pPr>
    </w:p>
    <w:p>
      <w:pPr>
        <w:numPr>
          <w:ilvl w:val="0"/>
          <w:numId w:val="3"/>
        </w:numPr>
        <w:spacing w:line="420" w:lineRule="exact"/>
        <w:rPr>
          <w:rFonts w:hint="eastAsia" w:cs="宋体"/>
          <w:b/>
          <w:color w:val="auto"/>
          <w:szCs w:val="21"/>
        </w:rPr>
      </w:pPr>
      <w:r>
        <w:rPr>
          <w:rFonts w:hint="eastAsia" w:cs="宋体"/>
          <w:b/>
          <w:color w:val="auto"/>
          <w:szCs w:val="21"/>
          <w:lang w:val="en-US" w:eastAsia="zh-CN"/>
        </w:rPr>
        <w:t>分析填空题</w:t>
      </w:r>
      <w:r>
        <w:rPr>
          <w:rFonts w:hint="eastAsia" w:cs="宋体"/>
          <w:b/>
          <w:color w:val="auto"/>
          <w:szCs w:val="21"/>
        </w:rPr>
        <w:t>（共</w:t>
      </w:r>
      <w:r>
        <w:rPr>
          <w:rFonts w:hint="eastAsia" w:cs="宋体"/>
          <w:b/>
          <w:color w:val="auto"/>
          <w:szCs w:val="21"/>
          <w:lang w:val="en-US" w:eastAsia="zh-CN"/>
        </w:rPr>
        <w:t>10</w:t>
      </w:r>
      <w:r>
        <w:rPr>
          <w:rFonts w:hint="eastAsia" w:cs="宋体"/>
          <w:b/>
          <w:color w:val="auto"/>
          <w:szCs w:val="21"/>
        </w:rPr>
        <w:t>分，共</w:t>
      </w:r>
      <w:r>
        <w:rPr>
          <w:rFonts w:hint="eastAsia" w:cs="宋体"/>
          <w:b/>
          <w:color w:val="auto"/>
          <w:szCs w:val="21"/>
          <w:lang w:val="en-US" w:eastAsia="zh-CN"/>
        </w:rPr>
        <w:t>1</w:t>
      </w:r>
      <w:r>
        <w:rPr>
          <w:rFonts w:hint="eastAsia" w:cs="宋体"/>
          <w:b/>
          <w:color w:val="auto"/>
          <w:szCs w:val="21"/>
        </w:rPr>
        <w:t>题）</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Cs w:val="21"/>
        </w:rPr>
      </w:pPr>
      <w:r>
        <w:rPr>
          <w:rFonts w:hint="eastAsia"/>
          <w:b w:val="0"/>
          <w:bCs w:val="0"/>
          <w:color w:val="auto"/>
          <w:lang w:val="en-US" w:eastAsia="zh-CN"/>
        </w:rPr>
        <w:t>1、</w:t>
      </w:r>
      <w:r>
        <w:rPr>
          <w:rFonts w:hint="eastAsia" w:ascii="宋体" w:hAnsi="宋体" w:eastAsia="宋体" w:cs="宋体"/>
          <w:color w:val="auto"/>
          <w:szCs w:val="21"/>
        </w:rPr>
        <w:t>XYZ公司是一家专营商品零售的股份公司。ABC会计师事务所在接受其审计委托后，委派L注册会计师担保外勤负责人，并将签署审计报告。经过审计预备调查,L注册会计师确定存货项目为重点审计领域，同时决定根据会计报表认定确定存货项目的具体审计目标，并选择相应的具体审计程序以保证审计目标的实现。</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b/>
          <w:color w:val="auto"/>
          <w:sz w:val="21"/>
          <w:szCs w:val="21"/>
        </w:rPr>
      </w:pPr>
      <w:r>
        <w:rPr>
          <w:rFonts w:hint="eastAsia"/>
          <w:b/>
          <w:color w:val="auto"/>
          <w:sz w:val="21"/>
          <w:szCs w:val="21"/>
        </w:rPr>
        <w:t>会计报表认定</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sz w:val="21"/>
          <w:szCs w:val="21"/>
        </w:rPr>
      </w:pPr>
      <w:r>
        <w:rPr>
          <w:color w:val="auto"/>
          <w:sz w:val="21"/>
          <w:szCs w:val="21"/>
        </w:rPr>
        <w:t>（1</w:t>
      </w:r>
      <w:r>
        <w:rPr>
          <w:rFonts w:hint="eastAsia"/>
          <w:color w:val="auto"/>
          <w:sz w:val="21"/>
          <w:szCs w:val="21"/>
        </w:rPr>
        <w:t>）完整性</w:t>
      </w:r>
      <w:r>
        <w:rPr>
          <w:color w:val="auto"/>
          <w:sz w:val="21"/>
          <w:szCs w:val="21"/>
        </w:rPr>
        <w:t>（2</w:t>
      </w:r>
      <w:r>
        <w:rPr>
          <w:rFonts w:hint="eastAsia"/>
          <w:color w:val="auto"/>
          <w:sz w:val="21"/>
          <w:szCs w:val="21"/>
        </w:rPr>
        <w:t>）存在</w:t>
      </w:r>
      <w:r>
        <w:rPr>
          <w:rFonts w:hint="eastAsia"/>
          <w:color w:val="auto"/>
          <w:sz w:val="21"/>
          <w:szCs w:val="21"/>
          <w:lang w:val="en-US" w:eastAsia="zh-CN"/>
        </w:rPr>
        <w:t xml:space="preserve"> </w:t>
      </w:r>
      <w:r>
        <w:rPr>
          <w:color w:val="auto"/>
          <w:sz w:val="21"/>
          <w:szCs w:val="21"/>
        </w:rPr>
        <w:t>（3</w:t>
      </w:r>
      <w:r>
        <w:rPr>
          <w:rFonts w:hint="eastAsia"/>
          <w:color w:val="auto"/>
          <w:sz w:val="21"/>
          <w:szCs w:val="21"/>
        </w:rPr>
        <w:t>）</w:t>
      </w:r>
      <w:r>
        <w:rPr>
          <w:rFonts w:hint="eastAsia"/>
          <w:color w:val="auto"/>
          <w:sz w:val="21"/>
          <w:szCs w:val="21"/>
          <w:lang w:val="en-US" w:eastAsia="zh-CN"/>
        </w:rPr>
        <w:t xml:space="preserve">分类和可理解  </w:t>
      </w:r>
      <w:r>
        <w:rPr>
          <w:color w:val="auto"/>
          <w:sz w:val="21"/>
          <w:szCs w:val="21"/>
        </w:rPr>
        <w:t>（4</w:t>
      </w:r>
      <w:r>
        <w:rPr>
          <w:rFonts w:hint="eastAsia"/>
          <w:color w:val="auto"/>
          <w:sz w:val="21"/>
          <w:szCs w:val="21"/>
        </w:rPr>
        <w:t>）权利和义务</w:t>
      </w:r>
      <w:r>
        <w:rPr>
          <w:rFonts w:hint="eastAsia"/>
          <w:color w:val="auto"/>
          <w:sz w:val="21"/>
          <w:szCs w:val="21"/>
          <w:lang w:val="en-US" w:eastAsia="zh-CN"/>
        </w:rPr>
        <w:t xml:space="preserve"> </w:t>
      </w:r>
      <w:r>
        <w:rPr>
          <w:color w:val="auto"/>
          <w:sz w:val="21"/>
          <w:szCs w:val="21"/>
        </w:rPr>
        <w:t>（5</w:t>
      </w:r>
      <w:r>
        <w:rPr>
          <w:rFonts w:hint="eastAsia"/>
          <w:color w:val="auto"/>
          <w:sz w:val="21"/>
          <w:szCs w:val="21"/>
        </w:rPr>
        <w:t>）计价与分摊</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b/>
          <w:color w:val="auto"/>
          <w:sz w:val="21"/>
          <w:szCs w:val="21"/>
        </w:rPr>
      </w:pPr>
      <w:r>
        <w:rPr>
          <w:rFonts w:hint="eastAsia"/>
          <w:b/>
          <w:color w:val="auto"/>
          <w:sz w:val="21"/>
          <w:szCs w:val="21"/>
        </w:rPr>
        <w:t>审计程序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color w:val="auto"/>
          <w:sz w:val="21"/>
          <w:szCs w:val="21"/>
        </w:rPr>
      </w:pPr>
      <w:r>
        <w:rPr>
          <w:rFonts w:hint="eastAsia"/>
          <w:color w:val="auto"/>
          <w:sz w:val="21"/>
          <w:szCs w:val="21"/>
        </w:rPr>
        <w:t>（</w:t>
      </w:r>
      <w:r>
        <w:rPr>
          <w:color w:val="auto"/>
          <w:sz w:val="21"/>
          <w:szCs w:val="21"/>
        </w:rPr>
        <w:t>6</w:t>
      </w:r>
      <w:r>
        <w:rPr>
          <w:rFonts w:hint="eastAsia"/>
          <w:color w:val="auto"/>
          <w:sz w:val="21"/>
          <w:szCs w:val="21"/>
        </w:rPr>
        <w:t>）检查现行销售价目表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sz w:val="21"/>
          <w:szCs w:val="21"/>
        </w:rPr>
      </w:pPr>
      <w:r>
        <w:rPr>
          <w:rFonts w:hint="eastAsia"/>
          <w:color w:val="auto"/>
          <w:sz w:val="21"/>
          <w:szCs w:val="21"/>
        </w:rPr>
        <w:t>（</w:t>
      </w:r>
      <w:r>
        <w:rPr>
          <w:color w:val="auto"/>
          <w:sz w:val="21"/>
          <w:szCs w:val="21"/>
        </w:rPr>
        <w:t>7</w:t>
      </w:r>
      <w:r>
        <w:rPr>
          <w:rFonts w:hint="eastAsia"/>
          <w:color w:val="auto"/>
          <w:sz w:val="21"/>
          <w:szCs w:val="21"/>
        </w:rPr>
        <w:t>）审阅会计报表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sz w:val="21"/>
          <w:szCs w:val="21"/>
        </w:rPr>
      </w:pPr>
      <w:r>
        <w:rPr>
          <w:rFonts w:hint="eastAsia"/>
          <w:color w:val="auto"/>
          <w:sz w:val="21"/>
          <w:szCs w:val="21"/>
        </w:rPr>
        <w:t>（</w:t>
      </w:r>
      <w:r>
        <w:rPr>
          <w:color w:val="auto"/>
          <w:sz w:val="21"/>
          <w:szCs w:val="21"/>
        </w:rPr>
        <w:t>8</w:t>
      </w:r>
      <w:r>
        <w:rPr>
          <w:rFonts w:hint="eastAsia"/>
          <w:color w:val="auto"/>
          <w:sz w:val="21"/>
          <w:szCs w:val="21"/>
        </w:rPr>
        <w:t>）在监盘存货时，选择一定样本，确定其是否包括在盘点表内</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color w:val="auto"/>
          <w:sz w:val="21"/>
          <w:szCs w:val="21"/>
        </w:rPr>
      </w:pPr>
      <w:r>
        <w:rPr>
          <w:rFonts w:hint="eastAsia"/>
          <w:color w:val="auto"/>
          <w:sz w:val="21"/>
          <w:szCs w:val="21"/>
        </w:rPr>
        <w:t>（</w:t>
      </w:r>
      <w:r>
        <w:rPr>
          <w:color w:val="auto"/>
          <w:sz w:val="21"/>
          <w:szCs w:val="21"/>
        </w:rPr>
        <w:t>9</w:t>
      </w:r>
      <w:r>
        <w:rPr>
          <w:rFonts w:hint="eastAsia"/>
          <w:color w:val="auto"/>
          <w:sz w:val="21"/>
          <w:szCs w:val="21"/>
        </w:rPr>
        <w:t>）选择一定样本量的存货会计记录，检查支持记录的购货合同和发票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color w:val="auto"/>
          <w:sz w:val="21"/>
          <w:szCs w:val="21"/>
        </w:rPr>
      </w:pPr>
      <w:r>
        <w:rPr>
          <w:rFonts w:hint="eastAsia"/>
          <w:color w:val="auto"/>
          <w:sz w:val="21"/>
          <w:szCs w:val="21"/>
        </w:rPr>
        <w:t>（</w:t>
      </w:r>
      <w:r>
        <w:rPr>
          <w:color w:val="auto"/>
          <w:sz w:val="21"/>
          <w:szCs w:val="21"/>
        </w:rPr>
        <w:t>10</w:t>
      </w:r>
      <w:r>
        <w:rPr>
          <w:rFonts w:hint="eastAsia"/>
          <w:color w:val="auto"/>
          <w:sz w:val="21"/>
          <w:szCs w:val="21"/>
        </w:rPr>
        <w:t>）在监盘存货时，选择盘点表内一定样本量的存货记录，确定存货是否在库存</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sz w:val="21"/>
          <w:szCs w:val="21"/>
        </w:rPr>
      </w:pPr>
      <w:r>
        <w:rPr>
          <w:color w:val="auto"/>
          <w:sz w:val="21"/>
          <w:szCs w:val="21"/>
        </w:rPr>
        <w:t>（11</w:t>
      </w:r>
      <w:r>
        <w:rPr>
          <w:rFonts w:hint="eastAsia"/>
          <w:color w:val="auto"/>
          <w:sz w:val="21"/>
          <w:szCs w:val="21"/>
        </w:rPr>
        <w:t>）测试直接人工费用的合理性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等线" w:hAnsi="等线" w:cs="等线"/>
          <w:color w:val="auto"/>
          <w:szCs w:val="21"/>
        </w:rPr>
      </w:pPr>
      <w:r>
        <w:rPr>
          <w:rFonts w:hint="eastAsia" w:ascii="等线" w:hAnsi="等线" w:cs="等线"/>
          <w:color w:val="auto"/>
          <w:szCs w:val="21"/>
        </w:rPr>
        <w:t>要求：请根据题中给出的审计目标，指出对应的相关认定；针对每一审计目标，选择相应的实质性程序（一项实质性程序可能对应一项或多项审计目标，每一审计目标可能选择一项或多项实质性程序）。请将财务报表相关认定及选择的实质性程序序号</w:t>
      </w:r>
      <w:r>
        <w:rPr>
          <w:rFonts w:hint="eastAsia" w:ascii="等线" w:hAnsi="等线" w:cs="等线"/>
          <w:color w:val="auto"/>
          <w:szCs w:val="21"/>
          <w:lang w:val="en-US" w:eastAsia="zh-CN"/>
        </w:rPr>
        <w:t>填入下表中</w:t>
      </w:r>
      <w:r>
        <w:rPr>
          <w:rFonts w:hint="eastAsia" w:ascii="等线" w:hAnsi="等线" w:cs="等线"/>
          <w:color w:val="auto"/>
          <w:szCs w:val="21"/>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等线" w:hAnsi="等线" w:cs="等线"/>
          <w:color w:val="auto"/>
          <w:szCs w:val="21"/>
        </w:rPr>
      </w:pPr>
    </w:p>
    <w:tbl>
      <w:tblPr>
        <w:tblStyle w:val="5"/>
        <w:tblW w:w="82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486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pPr>
              <w:widowControl w:val="0"/>
              <w:rPr>
                <w:color w:val="auto"/>
                <w:sz w:val="21"/>
                <w:szCs w:val="21"/>
              </w:rPr>
            </w:pPr>
            <w:r>
              <w:rPr>
                <w:rFonts w:hint="eastAsia"/>
                <w:color w:val="auto"/>
                <w:sz w:val="21"/>
                <w:szCs w:val="21"/>
              </w:rPr>
              <w:t>会计报表认定</w:t>
            </w:r>
          </w:p>
        </w:tc>
        <w:tc>
          <w:tcPr>
            <w:tcW w:w="4860" w:type="dxa"/>
            <w:noWrap w:val="0"/>
            <w:vAlign w:val="top"/>
          </w:tcPr>
          <w:p>
            <w:pPr>
              <w:widowControl w:val="0"/>
              <w:rPr>
                <w:color w:val="auto"/>
                <w:sz w:val="21"/>
                <w:szCs w:val="21"/>
              </w:rPr>
            </w:pPr>
            <w:r>
              <w:rPr>
                <w:rFonts w:hint="eastAsia"/>
                <w:color w:val="auto"/>
                <w:sz w:val="21"/>
                <w:szCs w:val="21"/>
              </w:rPr>
              <w:t>具体审计目标</w:t>
            </w:r>
          </w:p>
        </w:tc>
        <w:tc>
          <w:tcPr>
            <w:tcW w:w="1620" w:type="dxa"/>
            <w:noWrap w:val="0"/>
            <w:vAlign w:val="top"/>
          </w:tcPr>
          <w:p>
            <w:pPr>
              <w:widowControl w:val="0"/>
              <w:rPr>
                <w:color w:val="auto"/>
                <w:sz w:val="21"/>
                <w:szCs w:val="21"/>
              </w:rPr>
            </w:pPr>
            <w:r>
              <w:rPr>
                <w:rFonts w:hint="eastAsia"/>
                <w:color w:val="auto"/>
                <w:sz w:val="21"/>
                <w:szCs w:val="21"/>
              </w:rPr>
              <w:t>审计程序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pPr>
              <w:widowControl w:val="0"/>
              <w:rPr>
                <w:color w:val="auto"/>
                <w:sz w:val="21"/>
                <w:szCs w:val="21"/>
              </w:rPr>
            </w:pPr>
          </w:p>
        </w:tc>
        <w:tc>
          <w:tcPr>
            <w:tcW w:w="4860" w:type="dxa"/>
            <w:noWrap w:val="0"/>
            <w:vAlign w:val="top"/>
          </w:tcPr>
          <w:p>
            <w:pPr>
              <w:widowControl w:val="0"/>
              <w:rPr>
                <w:color w:val="auto"/>
                <w:sz w:val="21"/>
                <w:szCs w:val="21"/>
              </w:rPr>
            </w:pPr>
            <w:r>
              <w:rPr>
                <w:rFonts w:hint="eastAsia"/>
                <w:color w:val="auto"/>
                <w:sz w:val="21"/>
                <w:szCs w:val="21"/>
              </w:rPr>
              <w:t>公司对存货均拥有所有权</w:t>
            </w:r>
          </w:p>
        </w:tc>
        <w:tc>
          <w:tcPr>
            <w:tcW w:w="1620" w:type="dxa"/>
            <w:noWrap w:val="0"/>
            <w:vAlign w:val="top"/>
          </w:tcPr>
          <w:p>
            <w:pPr>
              <w:widowControl w:val="0"/>
              <w:rPr>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pPr>
              <w:widowControl w:val="0"/>
              <w:rPr>
                <w:color w:val="auto"/>
                <w:sz w:val="21"/>
                <w:szCs w:val="21"/>
              </w:rPr>
            </w:pPr>
          </w:p>
        </w:tc>
        <w:tc>
          <w:tcPr>
            <w:tcW w:w="4860" w:type="dxa"/>
            <w:noWrap w:val="0"/>
            <w:vAlign w:val="top"/>
          </w:tcPr>
          <w:p>
            <w:pPr>
              <w:widowControl w:val="0"/>
              <w:rPr>
                <w:color w:val="auto"/>
                <w:sz w:val="21"/>
                <w:szCs w:val="21"/>
              </w:rPr>
            </w:pPr>
            <w:r>
              <w:rPr>
                <w:rFonts w:hint="eastAsia"/>
                <w:color w:val="auto"/>
                <w:sz w:val="21"/>
                <w:szCs w:val="21"/>
              </w:rPr>
              <w:t>记录的存货数量包括了公司所有的在库存货</w:t>
            </w:r>
          </w:p>
        </w:tc>
        <w:tc>
          <w:tcPr>
            <w:tcW w:w="1620" w:type="dxa"/>
            <w:noWrap w:val="0"/>
            <w:vAlign w:val="top"/>
          </w:tcPr>
          <w:p>
            <w:pPr>
              <w:widowControl w:val="0"/>
              <w:rPr>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pPr>
              <w:widowControl w:val="0"/>
              <w:rPr>
                <w:color w:val="auto"/>
                <w:sz w:val="21"/>
                <w:szCs w:val="21"/>
              </w:rPr>
            </w:pPr>
          </w:p>
        </w:tc>
        <w:tc>
          <w:tcPr>
            <w:tcW w:w="4860" w:type="dxa"/>
            <w:noWrap w:val="0"/>
            <w:vAlign w:val="top"/>
          </w:tcPr>
          <w:p>
            <w:pPr>
              <w:widowControl w:val="0"/>
              <w:rPr>
                <w:color w:val="auto"/>
                <w:sz w:val="21"/>
                <w:szCs w:val="21"/>
              </w:rPr>
            </w:pPr>
            <w:r>
              <w:rPr>
                <w:rFonts w:hint="eastAsia"/>
                <w:color w:val="auto"/>
                <w:sz w:val="21"/>
                <w:szCs w:val="21"/>
              </w:rPr>
              <w:t>已按成本与可变现净值孰低法调整期末存货的价值</w:t>
            </w:r>
          </w:p>
        </w:tc>
        <w:tc>
          <w:tcPr>
            <w:tcW w:w="1620" w:type="dxa"/>
            <w:noWrap w:val="0"/>
            <w:vAlign w:val="top"/>
          </w:tcPr>
          <w:p>
            <w:pPr>
              <w:widowControl w:val="0"/>
              <w:rPr>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pPr>
              <w:widowControl w:val="0"/>
              <w:rPr>
                <w:color w:val="auto"/>
                <w:sz w:val="21"/>
                <w:szCs w:val="21"/>
              </w:rPr>
            </w:pPr>
          </w:p>
        </w:tc>
        <w:tc>
          <w:tcPr>
            <w:tcW w:w="4860" w:type="dxa"/>
            <w:noWrap w:val="0"/>
            <w:vAlign w:val="top"/>
          </w:tcPr>
          <w:p>
            <w:pPr>
              <w:widowControl w:val="0"/>
              <w:rPr>
                <w:color w:val="auto"/>
                <w:sz w:val="21"/>
                <w:szCs w:val="21"/>
              </w:rPr>
            </w:pPr>
            <w:r>
              <w:rPr>
                <w:rFonts w:hint="eastAsia"/>
                <w:color w:val="auto"/>
                <w:sz w:val="21"/>
                <w:szCs w:val="21"/>
              </w:rPr>
              <w:t>存货成本计算准确</w:t>
            </w:r>
          </w:p>
        </w:tc>
        <w:tc>
          <w:tcPr>
            <w:tcW w:w="1620" w:type="dxa"/>
            <w:noWrap w:val="0"/>
            <w:vAlign w:val="top"/>
          </w:tcPr>
          <w:p>
            <w:pPr>
              <w:widowControl w:val="0"/>
              <w:rPr>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pPr>
              <w:widowControl w:val="0"/>
              <w:rPr>
                <w:color w:val="auto"/>
                <w:sz w:val="21"/>
                <w:szCs w:val="21"/>
              </w:rPr>
            </w:pPr>
          </w:p>
        </w:tc>
        <w:tc>
          <w:tcPr>
            <w:tcW w:w="4860" w:type="dxa"/>
            <w:noWrap w:val="0"/>
            <w:vAlign w:val="top"/>
          </w:tcPr>
          <w:p>
            <w:pPr>
              <w:widowControl w:val="0"/>
              <w:rPr>
                <w:color w:val="auto"/>
                <w:sz w:val="21"/>
                <w:szCs w:val="21"/>
              </w:rPr>
            </w:pPr>
            <w:r>
              <w:rPr>
                <w:rFonts w:hint="eastAsia"/>
                <w:color w:val="auto"/>
                <w:sz w:val="21"/>
                <w:szCs w:val="21"/>
              </w:rPr>
              <w:t>存货的主要类别和计价基础已在会计报表恰当披露</w:t>
            </w:r>
          </w:p>
        </w:tc>
        <w:tc>
          <w:tcPr>
            <w:tcW w:w="1620" w:type="dxa"/>
            <w:noWrap w:val="0"/>
            <w:vAlign w:val="top"/>
          </w:tcPr>
          <w:p>
            <w:pPr>
              <w:widowControl w:val="0"/>
              <w:rPr>
                <w:color w:val="auto"/>
                <w:sz w:val="21"/>
                <w:szCs w:val="21"/>
              </w:rPr>
            </w:pPr>
          </w:p>
        </w:tc>
      </w:tr>
    </w:tbl>
    <w:p>
      <w:pPr>
        <w:rPr>
          <w:rFonts w:hint="eastAsia" w:ascii="宋体" w:hAnsi="宋体"/>
          <w:color w:val="auto"/>
          <w:szCs w:val="21"/>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tabs>
          <w:tab w:val="left" w:pos="5670"/>
        </w:tabs>
        <w:rPr>
          <w:rFonts w:hint="eastAsia" w:ascii="宋体" w:hAnsi="宋体" w:eastAsia="宋体" w:cs="Times New Roman"/>
          <w:b/>
          <w:color w:val="auto"/>
          <w:szCs w:val="21"/>
          <w:lang w:val="en-US" w:eastAsia="zh-CN"/>
        </w:rPr>
      </w:pPr>
      <w:r>
        <w:rPr>
          <w:rFonts w:hint="eastAsia" w:cs="宋体"/>
          <w:b/>
          <w:color w:val="auto"/>
          <w:szCs w:val="21"/>
        </w:rPr>
        <w:t>六、</w:t>
      </w:r>
      <w:r>
        <w:rPr>
          <w:rFonts w:hint="eastAsia" w:cs="宋体"/>
          <w:b/>
          <w:color w:val="auto"/>
          <w:szCs w:val="21"/>
          <w:lang w:val="en-US" w:eastAsia="zh-CN"/>
        </w:rPr>
        <w:t>案例分析题</w:t>
      </w:r>
      <w:r>
        <w:rPr>
          <w:rFonts w:hint="eastAsia" w:cs="宋体"/>
          <w:b/>
          <w:color w:val="auto"/>
          <w:szCs w:val="21"/>
        </w:rPr>
        <w:t>（本大题共38分，其中第1题12分，第2题14分，第3题12分</w:t>
      </w:r>
      <w:r>
        <w:rPr>
          <w:rFonts w:hint="eastAsia" w:ascii="宋体" w:hAnsi="宋体" w:eastAsia="宋体" w:cs="Times New Roman"/>
          <w:b/>
          <w:color w:val="auto"/>
          <w:szCs w:val="21"/>
          <w:lang w:val="en-US" w:eastAsia="zh-CN"/>
        </w:rPr>
        <w:t>）</w:t>
      </w:r>
    </w:p>
    <w:p>
      <w:pPr>
        <w:numPr>
          <w:ilvl w:val="0"/>
          <w:numId w:val="0"/>
        </w:numPr>
        <w:ind w:leftChars="0"/>
        <w:rPr>
          <w:rFonts w:hint="default" w:ascii="宋体" w:hAnsi="宋体" w:cs="宋体"/>
          <w:color w:val="auto"/>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color w:val="auto"/>
          <w:lang w:val="en-US" w:eastAsia="zh-CN"/>
        </w:rPr>
      </w:pPr>
      <w:r>
        <w:rPr>
          <w:rFonts w:hint="eastAsia" w:ascii="宋体" w:hAnsi="宋体" w:eastAsia="宋体" w:cs="宋体"/>
          <w:color w:val="auto"/>
          <w:lang w:val="en-US" w:eastAsia="zh-CN"/>
        </w:rPr>
        <w:t>1、ABC会</w:t>
      </w:r>
      <w:r>
        <w:rPr>
          <w:rFonts w:hint="eastAsia"/>
          <w:color w:val="auto"/>
          <w:lang w:val="en-US" w:eastAsia="zh-CN"/>
        </w:rPr>
        <w:t>计师事务所委派A注册会计师担任上市公司甲银行2023年度财务报表审计项目合伙人。ABC会计师事务所和XYZ公司处于同一网络。审计项目团队在审计中遇到下列事项：</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color w:val="auto"/>
          <w:lang w:val="en-US" w:eastAsia="zh-CN"/>
        </w:rPr>
      </w:pPr>
      <w:r>
        <w:rPr>
          <w:rFonts w:hint="eastAsia"/>
          <w:color w:val="auto"/>
          <w:lang w:val="en-US" w:eastAsia="zh-CN"/>
        </w:rPr>
        <w:t>（1）乙公司是甲银行的重要子公司，A注册会计师的父亲于2023年12月1日购买乙公司股票1000股，12月3日将1000股全部卖出。ABC会计师事务所未承接乙公司财务报表审计。</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color w:val="auto"/>
          <w:lang w:val="en-US" w:eastAsia="zh-CN"/>
        </w:rPr>
      </w:pPr>
      <w:r>
        <w:rPr>
          <w:rFonts w:hint="eastAsia"/>
          <w:color w:val="auto"/>
          <w:lang w:val="en-US" w:eastAsia="zh-CN"/>
        </w:rPr>
        <w:t>（2）2021年8月，丙公司被甲银行收购成为其重要子公司，2023年11月1日，审计项目团队成员B注册会计师的妻子加入丙公司担任人事部经理。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color w:val="auto"/>
          <w:lang w:val="en-US" w:eastAsia="zh-CN"/>
        </w:rPr>
      </w:pPr>
      <w:r>
        <w:rPr>
          <w:rFonts w:hint="default"/>
          <w:color w:val="auto"/>
          <w:lang w:val="en-US" w:eastAsia="zh-CN"/>
        </w:rPr>
        <w:t>（3）C注册会计师和A注册会计师同处一个分部，未参与甲银行审计，C注册会计师的儿子与甲银行某支行负责人的儿子共同投资开办了一家旅游公司W公司，W公司不是ABC会计师事务所的客户。</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color w:val="auto"/>
          <w:lang w:val="en-US" w:eastAsia="zh-CN"/>
        </w:rPr>
      </w:pPr>
      <w:r>
        <w:rPr>
          <w:rFonts w:hint="default"/>
          <w:color w:val="auto"/>
          <w:lang w:val="en-US" w:eastAsia="zh-CN"/>
        </w:rPr>
        <w:t>（4）D注册会计师曾担任ABC会计师事务所的高级合伙人，于202</w:t>
      </w:r>
      <w:r>
        <w:rPr>
          <w:rFonts w:hint="eastAsia"/>
          <w:color w:val="auto"/>
          <w:lang w:val="en-US" w:eastAsia="zh-CN"/>
        </w:rPr>
        <w:t>3</w:t>
      </w:r>
      <w:r>
        <w:rPr>
          <w:rFonts w:hint="default"/>
          <w:color w:val="auto"/>
          <w:lang w:val="en-US" w:eastAsia="zh-CN"/>
        </w:rPr>
        <w:t>年12月31日退休，202</w:t>
      </w:r>
      <w:r>
        <w:rPr>
          <w:rFonts w:hint="eastAsia"/>
          <w:color w:val="auto"/>
          <w:lang w:val="en-US" w:eastAsia="zh-CN"/>
        </w:rPr>
        <w:t>4</w:t>
      </w:r>
      <w:r>
        <w:rPr>
          <w:rFonts w:hint="default"/>
          <w:color w:val="auto"/>
          <w:lang w:val="en-US" w:eastAsia="zh-CN"/>
        </w:rPr>
        <w:t>年1月1日开始担任甲银行独立董事。D注册会计师退休后与ABC会计师事务所不再有任何联系。</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color w:val="auto"/>
          <w:lang w:val="en-US" w:eastAsia="zh-CN"/>
        </w:rPr>
      </w:pPr>
      <w:r>
        <w:rPr>
          <w:rFonts w:hint="default"/>
          <w:color w:val="auto"/>
          <w:lang w:val="en-US" w:eastAsia="zh-CN"/>
        </w:rPr>
        <w:t>（5）E注册会计师曾担任甲银行20</w:t>
      </w:r>
      <w:r>
        <w:rPr>
          <w:rFonts w:hint="eastAsia"/>
          <w:color w:val="auto"/>
          <w:lang w:val="en-US" w:eastAsia="zh-CN"/>
        </w:rPr>
        <w:t>20</w:t>
      </w:r>
      <w:r>
        <w:rPr>
          <w:rFonts w:hint="default"/>
          <w:color w:val="auto"/>
          <w:lang w:val="en-US" w:eastAsia="zh-CN"/>
        </w:rPr>
        <w:t>年至202</w:t>
      </w:r>
      <w:r>
        <w:rPr>
          <w:rFonts w:hint="eastAsia"/>
          <w:color w:val="auto"/>
          <w:lang w:val="en-US" w:eastAsia="zh-CN"/>
        </w:rPr>
        <w:t>2</w:t>
      </w:r>
      <w:r>
        <w:rPr>
          <w:rFonts w:hint="default"/>
          <w:color w:val="auto"/>
          <w:lang w:val="en-US" w:eastAsia="zh-CN"/>
        </w:rPr>
        <w:t>年度财务报表审计项目合伙人，未参与甲银行202</w:t>
      </w:r>
      <w:r>
        <w:rPr>
          <w:rFonts w:hint="eastAsia"/>
          <w:color w:val="auto"/>
          <w:lang w:val="en-US" w:eastAsia="zh-CN"/>
        </w:rPr>
        <w:t>3</w:t>
      </w:r>
      <w:r>
        <w:rPr>
          <w:rFonts w:hint="default"/>
          <w:color w:val="auto"/>
          <w:lang w:val="en-US" w:eastAsia="zh-CN"/>
        </w:rPr>
        <w:t>年度财务报表审计工作，甲银行于202</w:t>
      </w:r>
      <w:r>
        <w:rPr>
          <w:rFonts w:hint="eastAsia"/>
          <w:color w:val="auto"/>
          <w:lang w:val="en-US" w:eastAsia="zh-CN"/>
        </w:rPr>
        <w:t>4</w:t>
      </w:r>
      <w:r>
        <w:rPr>
          <w:rFonts w:hint="default"/>
          <w:color w:val="auto"/>
          <w:lang w:val="en-US" w:eastAsia="zh-CN"/>
        </w:rPr>
        <w:t>年4月5日对外发布其202</w:t>
      </w:r>
      <w:r>
        <w:rPr>
          <w:rFonts w:hint="eastAsia"/>
          <w:color w:val="auto"/>
          <w:lang w:val="en-US" w:eastAsia="zh-CN"/>
        </w:rPr>
        <w:t>3</w:t>
      </w:r>
      <w:r>
        <w:rPr>
          <w:rFonts w:hint="default"/>
          <w:color w:val="auto"/>
          <w:lang w:val="en-US" w:eastAsia="zh-CN"/>
        </w:rPr>
        <w:t>年年度报告。E注册会计师于202</w:t>
      </w:r>
      <w:r>
        <w:rPr>
          <w:rFonts w:hint="eastAsia"/>
          <w:color w:val="auto"/>
          <w:lang w:val="en-US" w:eastAsia="zh-CN"/>
        </w:rPr>
        <w:t>4</w:t>
      </w:r>
      <w:r>
        <w:rPr>
          <w:rFonts w:hint="default"/>
          <w:color w:val="auto"/>
          <w:lang w:val="en-US" w:eastAsia="zh-CN"/>
        </w:rPr>
        <w:t>年4月1日离职，并于202</w:t>
      </w:r>
      <w:r>
        <w:rPr>
          <w:rFonts w:hint="eastAsia"/>
          <w:color w:val="auto"/>
          <w:lang w:val="en-US" w:eastAsia="zh-CN"/>
        </w:rPr>
        <w:t>4</w:t>
      </w:r>
      <w:r>
        <w:rPr>
          <w:rFonts w:hint="default"/>
          <w:color w:val="auto"/>
          <w:lang w:val="en-US" w:eastAsia="zh-CN"/>
        </w:rPr>
        <w:t>年4月2日加入甲银行担任财务总监。</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both"/>
        <w:textAlignment w:val="auto"/>
        <w:rPr>
          <w:rFonts w:hint="default"/>
          <w:color w:val="auto"/>
          <w:lang w:val="en-US" w:eastAsia="zh-CN"/>
        </w:rPr>
      </w:pPr>
      <w:r>
        <w:rPr>
          <w:rFonts w:hint="default"/>
          <w:color w:val="auto"/>
          <w:lang w:val="en-US" w:eastAsia="zh-CN"/>
        </w:rPr>
        <w:t>（6）在科创板上市的丁公司持有甲银行25%的股权，甲银行对丁公司重要。审计项目团队成员F注册会计师的父亲持有丁公司股票1000股。</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both"/>
        <w:textAlignment w:val="auto"/>
        <w:rPr>
          <w:rFonts w:hint="eastAsia"/>
          <w:color w:val="auto"/>
          <w:lang w:val="en-US" w:eastAsia="zh-CN"/>
        </w:rPr>
      </w:pPr>
      <w:r>
        <w:rPr>
          <w:rFonts w:hint="eastAsia"/>
          <w:color w:val="auto"/>
          <w:lang w:val="en-US" w:eastAsia="zh-CN"/>
        </w:rPr>
        <w:t>要求：针对上述第（1）至（6）项，逐项指出是否可能存在违反中国注册会计师职业道德守则有关独立性规定的情况，并简要说明理由。</w:t>
      </w: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ascii="宋体" w:hAnsi="宋体"/>
          <w:color w:val="auto"/>
          <w:szCs w:val="21"/>
        </w:rPr>
      </w:pPr>
      <w:r>
        <w:rPr>
          <w:rFonts w:hint="eastAsia" w:ascii="宋体" w:hAnsi="宋体"/>
          <w:color w:val="auto"/>
          <w:u w:val="none"/>
          <w:lang w:val="en-US" w:eastAsia="zh-CN"/>
        </w:rPr>
        <w:t>2、</w:t>
      </w:r>
      <w:r>
        <w:rPr>
          <w:rFonts w:hint="eastAsia" w:ascii="宋体" w:hAnsi="宋体"/>
          <w:color w:val="auto"/>
          <w:szCs w:val="21"/>
        </w:rPr>
        <w:t>上海达信会计师事务所的注册会计师李大健、何奇于202</w:t>
      </w:r>
      <w:r>
        <w:rPr>
          <w:rFonts w:hint="eastAsia" w:ascii="宋体" w:hAnsi="宋体"/>
          <w:color w:val="auto"/>
          <w:szCs w:val="21"/>
          <w:lang w:val="en-US" w:eastAsia="zh-CN"/>
        </w:rPr>
        <w:t>4</w:t>
      </w:r>
      <w:r>
        <w:rPr>
          <w:rFonts w:hint="eastAsia" w:ascii="宋体" w:hAnsi="宋体"/>
          <w:color w:val="auto"/>
          <w:szCs w:val="21"/>
        </w:rPr>
        <w:t>年2月20日开始对华厦股份有限公司20</w:t>
      </w:r>
      <w:r>
        <w:rPr>
          <w:rFonts w:hint="eastAsia" w:ascii="宋体" w:hAnsi="宋体"/>
          <w:color w:val="auto"/>
          <w:szCs w:val="21"/>
          <w:lang w:val="en-US" w:eastAsia="zh-CN"/>
        </w:rPr>
        <w:t>23</w:t>
      </w:r>
      <w:r>
        <w:rPr>
          <w:rFonts w:hint="eastAsia" w:ascii="宋体" w:hAnsi="宋体"/>
          <w:color w:val="auto"/>
          <w:szCs w:val="21"/>
        </w:rPr>
        <w:t>年度的财务报表进行审计，并于3月8日完成了外勤审计工作。华厦公司20</w:t>
      </w:r>
      <w:r>
        <w:rPr>
          <w:rFonts w:hint="eastAsia" w:ascii="宋体" w:hAnsi="宋体"/>
          <w:color w:val="auto"/>
          <w:szCs w:val="21"/>
          <w:lang w:val="en-US" w:eastAsia="zh-CN"/>
        </w:rPr>
        <w:t>23</w:t>
      </w:r>
      <w:r>
        <w:rPr>
          <w:rFonts w:hint="eastAsia" w:ascii="宋体" w:hAnsi="宋体"/>
          <w:color w:val="auto"/>
          <w:szCs w:val="21"/>
        </w:rPr>
        <w:t>年12月31日的资产总额为6000万元，利润总额为500万元，两位注册会计师将财务报表层次的重要性水平定为30万元。在审计过程中，两位注册会计师发现华厦公司存在以下情况：</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宋体" w:hAnsi="宋体"/>
          <w:color w:val="auto"/>
          <w:szCs w:val="21"/>
        </w:rPr>
      </w:pPr>
      <w:r>
        <w:rPr>
          <w:rFonts w:hint="eastAsia" w:ascii="宋体" w:hAnsi="宋体"/>
          <w:color w:val="auto"/>
          <w:szCs w:val="21"/>
        </w:rPr>
        <w:t>（1）公司于20</w:t>
      </w:r>
      <w:r>
        <w:rPr>
          <w:rFonts w:ascii="宋体" w:hAnsi="宋体"/>
          <w:color w:val="auto"/>
          <w:szCs w:val="21"/>
        </w:rPr>
        <w:t>2</w:t>
      </w:r>
      <w:r>
        <w:rPr>
          <w:rFonts w:hint="eastAsia" w:ascii="宋体" w:hAnsi="宋体"/>
          <w:color w:val="auto"/>
          <w:szCs w:val="21"/>
          <w:lang w:val="en-US" w:eastAsia="zh-CN"/>
        </w:rPr>
        <w:t>3</w:t>
      </w:r>
      <w:r>
        <w:rPr>
          <w:rFonts w:hint="eastAsia" w:ascii="宋体" w:hAnsi="宋体"/>
          <w:color w:val="auto"/>
          <w:szCs w:val="21"/>
        </w:rPr>
        <w:t>年6月购入价值30万元的复印机一台，已入账，当月由管理部门领用，但当年并未计提折旧。根据公司的有关会计政策，这类固定资产的折旧年限为8年，残值率为10％，按直线法计提折旧。</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olor w:val="auto"/>
          <w:szCs w:val="21"/>
          <w:lang w:val="en-US" w:eastAsia="zh-CN"/>
        </w:rPr>
      </w:pPr>
      <w:r>
        <w:rPr>
          <w:rFonts w:hint="eastAsia" w:ascii="宋体" w:hAnsi="宋体"/>
          <w:color w:val="auto"/>
          <w:szCs w:val="21"/>
        </w:rPr>
        <w:t>（2）20</w:t>
      </w:r>
      <w:r>
        <w:rPr>
          <w:rFonts w:ascii="宋体" w:hAnsi="宋体"/>
          <w:color w:val="auto"/>
          <w:szCs w:val="21"/>
        </w:rPr>
        <w:t>2</w:t>
      </w:r>
      <w:r>
        <w:rPr>
          <w:rFonts w:hint="eastAsia" w:ascii="宋体" w:hAnsi="宋体"/>
          <w:color w:val="auto"/>
          <w:szCs w:val="21"/>
          <w:lang w:val="en-US" w:eastAsia="zh-CN"/>
        </w:rPr>
        <w:t>3</w:t>
      </w:r>
      <w:r>
        <w:rPr>
          <w:rFonts w:hint="eastAsia" w:ascii="宋体" w:hAnsi="宋体"/>
          <w:color w:val="auto"/>
          <w:szCs w:val="21"/>
        </w:rPr>
        <w:t>年12月30日公司预付了120万元的下年度广告费，已计入12月的销售费用</w:t>
      </w:r>
      <w:r>
        <w:rPr>
          <w:rFonts w:hint="eastAsia" w:ascii="宋体" w:hAnsi="宋体"/>
          <w:color w:val="auto"/>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宋体" w:hAnsi="宋体"/>
          <w:color w:val="auto"/>
          <w:szCs w:val="21"/>
        </w:rPr>
      </w:pPr>
      <w:r>
        <w:rPr>
          <w:rFonts w:hint="eastAsia" w:ascii="宋体" w:hAnsi="宋体"/>
          <w:color w:val="auto"/>
          <w:szCs w:val="21"/>
        </w:rPr>
        <w:t>（3）公司有60万元的存货放在外地仓库，注册会计师未能进行监盘，向存放地点发出的征询函也未收到任何答复，且无法实施替代程序。</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宋体" w:hAnsi="宋体"/>
          <w:color w:val="auto"/>
          <w:szCs w:val="21"/>
        </w:rPr>
      </w:pPr>
      <w:r>
        <w:rPr>
          <w:rFonts w:hint="eastAsia" w:ascii="宋体" w:hAnsi="宋体"/>
          <w:color w:val="auto"/>
          <w:szCs w:val="21"/>
        </w:rPr>
        <w:t>要求：</w:t>
      </w:r>
    </w:p>
    <w:p>
      <w:pPr>
        <w:keepNext w:val="0"/>
        <w:keepLines w:val="0"/>
        <w:pageBreakBefore w:val="0"/>
        <w:widowControl w:val="0"/>
        <w:numPr>
          <w:ilvl w:val="0"/>
          <w:numId w:val="4"/>
        </w:numPr>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olor w:val="auto"/>
          <w:szCs w:val="21"/>
        </w:rPr>
      </w:pPr>
      <w:r>
        <w:rPr>
          <w:rFonts w:hint="eastAsia" w:ascii="宋体" w:hAnsi="宋体"/>
          <w:color w:val="auto"/>
          <w:szCs w:val="21"/>
        </w:rPr>
        <w:t>针对上述3种情况，分别说明</w:t>
      </w:r>
      <w:r>
        <w:rPr>
          <w:rFonts w:hint="eastAsia" w:ascii="宋体" w:hAnsi="宋体"/>
          <w:color w:val="auto"/>
          <w:szCs w:val="21"/>
          <w:lang w:val="en-US" w:eastAsia="zh-CN"/>
        </w:rPr>
        <w:t>是存在错报还是审计范围受限</w:t>
      </w:r>
      <w:r>
        <w:rPr>
          <w:rFonts w:hint="eastAsia" w:ascii="宋体" w:hAnsi="宋体"/>
          <w:color w:val="auto"/>
          <w:szCs w:val="21"/>
        </w:rPr>
        <w:t>？</w:t>
      </w:r>
      <w:r>
        <w:rPr>
          <w:rFonts w:hint="eastAsia" w:ascii="宋体" w:hAnsi="宋体"/>
          <w:color w:val="auto"/>
          <w:szCs w:val="21"/>
          <w:lang w:val="en-US" w:eastAsia="zh-CN"/>
        </w:rPr>
        <w:t>如果是错报</w:t>
      </w:r>
      <w:r>
        <w:rPr>
          <w:rFonts w:hint="eastAsia" w:ascii="宋体" w:hAnsi="宋体"/>
          <w:color w:val="auto"/>
          <w:szCs w:val="21"/>
        </w:rPr>
        <w:t>需提请被审计单位调整，请列示调整分录（不考虑所得税、利润分配等的影响）。</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宋体" w:hAnsi="宋体"/>
          <w:color w:val="auto"/>
          <w:szCs w:val="21"/>
        </w:rPr>
      </w:pPr>
      <w:r>
        <w:rPr>
          <w:rFonts w:hint="eastAsia" w:ascii="宋体" w:hAnsi="宋体" w:cs="宋体"/>
          <w:color w:val="auto"/>
          <w:szCs w:val="21"/>
        </w:rPr>
        <w:t>（2）假定被审计单位拒绝注册会计师对上述3种情况的处理意见，分别判断（考虑某情况时不考虑其他情况的影响）注册会计师应当出具的审计意见类型，并说明原因。</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rPr>
          <w:rFonts w:hint="eastAsia"/>
          <w:color w:val="auto"/>
        </w:rPr>
      </w:pPr>
      <w:r>
        <w:rPr>
          <w:rFonts w:hint="eastAsia" w:ascii="Calibri" w:hAnsi="Calibri" w:eastAsia="宋体" w:cs="Times New Roman"/>
          <w:color w:val="auto"/>
          <w:sz w:val="21"/>
          <w:szCs w:val="21"/>
          <w:lang w:val="en-US" w:eastAsia="zh-CN"/>
        </w:rPr>
        <w:t>3、</w:t>
      </w:r>
      <w:r>
        <w:rPr>
          <w:rFonts w:hint="eastAsia"/>
          <w:color w:val="auto"/>
        </w:rPr>
        <w:t>ABC会计师事务所负责审计甲公司202</w:t>
      </w:r>
      <w:r>
        <w:rPr>
          <w:rFonts w:hint="eastAsia"/>
          <w:color w:val="auto"/>
          <w:lang w:val="en-US" w:eastAsia="zh-CN"/>
        </w:rPr>
        <w:t>3</w:t>
      </w:r>
      <w:r>
        <w:rPr>
          <w:rFonts w:hint="eastAsia"/>
          <w:color w:val="auto"/>
        </w:rPr>
        <w:t>年度财务报表，甲公司是从事物流服务的大型上市公司，A注册会计师担任项目合伙人，在审计工作底稿中记录下列与函证相关的事项：</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lang w:eastAsia="zh-CN"/>
        </w:rPr>
        <w:t>（</w:t>
      </w:r>
      <w:r>
        <w:rPr>
          <w:rFonts w:hint="eastAsia"/>
          <w:color w:val="auto"/>
          <w:lang w:val="en-US" w:eastAsia="zh-CN"/>
        </w:rPr>
        <w:t>1</w:t>
      </w:r>
      <w:r>
        <w:rPr>
          <w:rFonts w:hint="eastAsia"/>
          <w:color w:val="auto"/>
          <w:lang w:eastAsia="zh-CN"/>
        </w:rPr>
        <w:t>）</w:t>
      </w:r>
      <w:r>
        <w:rPr>
          <w:rFonts w:hint="eastAsia"/>
          <w:color w:val="auto"/>
        </w:rPr>
        <w:t>A注册会计师核对询证函相关信息后，亲自将询证函交给甲公司的快递员发出。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lang w:eastAsia="zh-CN"/>
        </w:rPr>
        <w:t>（</w:t>
      </w:r>
      <w:r>
        <w:rPr>
          <w:rFonts w:hint="eastAsia"/>
          <w:color w:val="auto"/>
          <w:lang w:val="en-US" w:eastAsia="zh-CN"/>
        </w:rPr>
        <w:t>2</w:t>
      </w:r>
      <w:r>
        <w:rPr>
          <w:rFonts w:hint="eastAsia"/>
          <w:color w:val="auto"/>
          <w:lang w:eastAsia="zh-CN"/>
        </w:rPr>
        <w:t>）</w:t>
      </w:r>
      <w:r>
        <w:rPr>
          <w:rFonts w:hint="eastAsia"/>
          <w:color w:val="auto"/>
        </w:rPr>
        <w:t>被询证者乙公司收到询证函，由于</w:t>
      </w:r>
      <w:r>
        <w:rPr>
          <w:rFonts w:hint="eastAsia"/>
          <w:color w:val="auto"/>
          <w:lang w:val="en-US" w:eastAsia="zh-CN"/>
        </w:rPr>
        <w:t>不可抗力因素的</w:t>
      </w:r>
      <w:r>
        <w:rPr>
          <w:rFonts w:hint="eastAsia"/>
          <w:color w:val="auto"/>
        </w:rPr>
        <w:t>原因不能及时寄回询证函原件。A注册会计师通过电话等方式与负责办理回函的人员取得联系，口头确认回函信息，要求该人员通过传真方式将签字盖章后的回函直接发送给A注册会计师，随后在快递恢复后，立即将回函原件直接邮寄至会计师事务所。</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lang w:eastAsia="zh-CN"/>
        </w:rPr>
        <w:t>（</w:t>
      </w:r>
      <w:r>
        <w:rPr>
          <w:rFonts w:hint="eastAsia"/>
          <w:color w:val="auto"/>
          <w:lang w:val="en-US" w:eastAsia="zh-CN"/>
        </w:rPr>
        <w:t>3</w:t>
      </w:r>
      <w:r>
        <w:rPr>
          <w:rFonts w:hint="eastAsia"/>
          <w:color w:val="auto"/>
          <w:lang w:eastAsia="zh-CN"/>
        </w:rPr>
        <w:t>）</w:t>
      </w:r>
      <w:r>
        <w:rPr>
          <w:rFonts w:hint="eastAsia"/>
          <w:color w:val="auto"/>
        </w:rPr>
        <w:t xml:space="preserve">A注册会计师选取应收账款中金额较大的账户进行函证，占全部应收账款金额的 </w:t>
      </w:r>
      <w:r>
        <w:rPr>
          <w:rFonts w:hint="eastAsia" w:ascii="宋体" w:hAnsi="宋体" w:eastAsia="宋体" w:cs="宋体"/>
          <w:color w:val="auto"/>
        </w:rPr>
        <w:t>70%,</w:t>
      </w:r>
      <w:r>
        <w:rPr>
          <w:rFonts w:hint="eastAsia"/>
          <w:color w:val="auto"/>
        </w:rPr>
        <w:t>未发现错报，A注册会计师推断其余30%的应收账款余额也不存在错报，未 实施进一步审计程序。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lang w:eastAsia="zh-CN"/>
        </w:rPr>
        <w:t>（</w:t>
      </w:r>
      <w:r>
        <w:rPr>
          <w:rFonts w:hint="eastAsia"/>
          <w:color w:val="auto"/>
          <w:lang w:val="en-US" w:eastAsia="zh-CN"/>
        </w:rPr>
        <w:t>4</w:t>
      </w:r>
      <w:r>
        <w:rPr>
          <w:rFonts w:hint="eastAsia"/>
          <w:color w:val="auto"/>
          <w:lang w:eastAsia="zh-CN"/>
        </w:rPr>
        <w:t>）</w:t>
      </w:r>
      <w:r>
        <w:rPr>
          <w:rFonts w:hint="eastAsia"/>
          <w:color w:val="auto"/>
        </w:rPr>
        <w:t>某供应商回函邮戳显示发函地址与甲公司提供的地址不一致。甲公司财务人员解释是由于该供应商有多处办公地址所致，并提供了办公地址的清单，A注册会计师对办公地址清单进行拍照留存，结果满意，在审计工作底稿中记录了这一情况。</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lang w:eastAsia="zh-CN"/>
        </w:rPr>
        <w:t>（</w:t>
      </w:r>
      <w:r>
        <w:rPr>
          <w:rFonts w:hint="eastAsia"/>
          <w:color w:val="auto"/>
          <w:lang w:val="en-US" w:eastAsia="zh-CN"/>
        </w:rPr>
        <w:t>5</w:t>
      </w:r>
      <w:r>
        <w:rPr>
          <w:rFonts w:hint="eastAsia"/>
          <w:color w:val="auto"/>
          <w:lang w:eastAsia="zh-CN"/>
        </w:rPr>
        <w:t>）</w:t>
      </w:r>
      <w:r>
        <w:rPr>
          <w:rFonts w:hint="eastAsia"/>
          <w:color w:val="auto"/>
        </w:rPr>
        <w:t>函证结朿后，A注册会计师将回函交给甲公司作为催收应收账款之用。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lang w:eastAsia="zh-CN"/>
        </w:rPr>
        <w:t>（</w:t>
      </w:r>
      <w:r>
        <w:rPr>
          <w:rFonts w:hint="eastAsia"/>
          <w:color w:val="auto"/>
          <w:lang w:val="en-US" w:eastAsia="zh-CN"/>
        </w:rPr>
        <w:t>6</w:t>
      </w:r>
      <w:r>
        <w:rPr>
          <w:rFonts w:hint="eastAsia"/>
          <w:color w:val="auto"/>
          <w:lang w:eastAsia="zh-CN"/>
        </w:rPr>
        <w:t>）</w:t>
      </w:r>
      <w:r>
        <w:rPr>
          <w:rFonts w:hint="eastAsia"/>
          <w:color w:val="auto"/>
        </w:rPr>
        <w:t>A注册会计师评估认为应收账款的重大错报风险较低，对甲公司202</w:t>
      </w:r>
      <w:r>
        <w:rPr>
          <w:rFonts w:hint="eastAsia"/>
          <w:color w:val="auto"/>
          <w:lang w:val="en-US" w:eastAsia="zh-CN"/>
        </w:rPr>
        <w:t>3</w:t>
      </w:r>
      <w:r>
        <w:rPr>
          <w:rFonts w:hint="eastAsia"/>
          <w:color w:val="auto"/>
        </w:rPr>
        <w:t>年11月30日的应收账款余额实施了函证程序，未发现差异。202</w:t>
      </w:r>
      <w:r>
        <w:rPr>
          <w:rFonts w:hint="eastAsia"/>
          <w:color w:val="auto"/>
          <w:lang w:val="en-US" w:eastAsia="zh-CN"/>
        </w:rPr>
        <w:t>3</w:t>
      </w:r>
      <w:r>
        <w:rPr>
          <w:rFonts w:hint="eastAsia"/>
          <w:color w:val="auto"/>
        </w:rPr>
        <w:t>年12月31日的应收账款余额较11月30日无重大变动。A注册会计师据此认为已对年末应收账款余额的存在认定获取了充分、适当的审计证据。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要求：针对上述第</w:t>
      </w:r>
      <w:r>
        <w:rPr>
          <w:rFonts w:hint="eastAsia"/>
          <w:color w:val="auto"/>
          <w:lang w:eastAsia="zh-CN"/>
        </w:rPr>
        <w:t>（</w:t>
      </w:r>
      <w:r>
        <w:rPr>
          <w:rFonts w:hint="eastAsia"/>
          <w:color w:val="auto"/>
          <w:lang w:val="en-US" w:eastAsia="zh-CN"/>
        </w:rPr>
        <w:t>1</w:t>
      </w:r>
      <w:r>
        <w:rPr>
          <w:rFonts w:hint="eastAsia"/>
          <w:color w:val="auto"/>
          <w:lang w:eastAsia="zh-CN"/>
        </w:rPr>
        <w:t>）</w:t>
      </w:r>
      <w:r>
        <w:rPr>
          <w:rFonts w:hint="eastAsia"/>
          <w:color w:val="auto"/>
        </w:rPr>
        <w:t>至</w:t>
      </w:r>
      <w:r>
        <w:rPr>
          <w:rFonts w:hint="eastAsia"/>
          <w:color w:val="auto"/>
          <w:lang w:eastAsia="zh-CN"/>
        </w:rPr>
        <w:t>（</w:t>
      </w:r>
      <w:r>
        <w:rPr>
          <w:rFonts w:hint="eastAsia"/>
          <w:color w:val="auto"/>
          <w:lang w:val="en-US" w:eastAsia="zh-CN"/>
        </w:rPr>
        <w:t>6）</w:t>
      </w:r>
      <w:r>
        <w:rPr>
          <w:rFonts w:hint="eastAsia"/>
          <w:color w:val="auto"/>
        </w:rPr>
        <w:t>项，逐项指出A注册会计师的做法是否恰当。如不恰当，简要说明理由。</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spacing w:line="400" w:lineRule="exact"/>
        <w:jc w:val="center"/>
        <w:rPr>
          <w:rFonts w:ascii="楷体_GB2312" w:hAnsi="华文细黑" w:eastAsia="楷体_GB2312"/>
          <w:b/>
          <w:color w:val="auto"/>
          <w:sz w:val="36"/>
        </w:rPr>
      </w:pPr>
      <w:r>
        <w:rPr>
          <w:rFonts w:hint="eastAsia" w:ascii="楷体_GB2312" w:hAnsi="华文细黑" w:eastAsia="楷体_GB2312"/>
          <w:b/>
          <w:color w:val="auto"/>
          <w:sz w:val="36"/>
        </w:rPr>
        <w:t>试题标准答案及评分标准用纸</w:t>
      </w:r>
    </w:p>
    <w:p>
      <w:pPr>
        <w:spacing w:line="400" w:lineRule="exact"/>
        <w:ind w:left="240" w:hanging="240" w:hangingChars="100"/>
        <w:rPr>
          <w:rFonts w:ascii="华文细黑" w:hAnsi="华文细黑" w:eastAsia="华文细黑"/>
          <w:color w:val="auto"/>
          <w:sz w:val="24"/>
        </w:rPr>
      </w:pPr>
      <w:r>
        <w:rPr>
          <w:rFonts w:ascii="华文细黑" w:hAnsi="华文细黑" w:eastAsia="华文细黑"/>
          <w:color w:val="auto"/>
          <w:sz w:val="24"/>
        </w:rPr>
        <w:t xml:space="preserve">                      </w:t>
      </w:r>
      <w:r>
        <w:rPr>
          <w:rFonts w:hint="eastAsia" w:ascii="华文细黑" w:hAnsi="华文细黑" w:eastAsia="华文细黑"/>
          <w:color w:val="auto"/>
          <w:sz w:val="24"/>
        </w:rPr>
        <w:t>课程名称：</w:t>
      </w:r>
      <w:r>
        <w:rPr>
          <w:rFonts w:ascii="华文细黑" w:hAnsi="华文细黑" w:eastAsia="华文细黑"/>
          <w:color w:val="auto"/>
          <w:sz w:val="24"/>
        </w:rPr>
        <w:t xml:space="preserve"> </w:t>
      </w:r>
      <w:r>
        <w:rPr>
          <w:rFonts w:hint="eastAsia" w:ascii="华文细黑" w:hAnsi="华文细黑" w:eastAsia="华文细黑"/>
          <w:color w:val="auto"/>
          <w:sz w:val="24"/>
          <w:lang w:val="en-US" w:eastAsia="zh-CN"/>
        </w:rPr>
        <w:t>审计学</w:t>
      </w:r>
      <w:r>
        <w:rPr>
          <w:rFonts w:ascii="华文细黑" w:hAnsi="华文细黑" w:eastAsia="华文细黑"/>
          <w:color w:val="auto"/>
          <w:sz w:val="24"/>
        </w:rPr>
        <w:t xml:space="preserve">   </w:t>
      </w:r>
      <w:r>
        <w:rPr>
          <w:rFonts w:hint="eastAsia" w:ascii="华文细黑" w:hAnsi="华文细黑" w:eastAsia="华文细黑"/>
          <w:color w:val="auto"/>
          <w:sz w:val="24"/>
        </w:rPr>
        <w:t xml:space="preserve">              （</w:t>
      </w:r>
      <w:r>
        <w:rPr>
          <w:rFonts w:ascii="华文细黑" w:hAnsi="华文细黑" w:eastAsia="华文细黑"/>
          <w:color w:val="auto"/>
          <w:sz w:val="24"/>
        </w:rPr>
        <w:t xml:space="preserve"> </w:t>
      </w:r>
      <w:r>
        <w:rPr>
          <w:rFonts w:hint="eastAsia" w:ascii="华文细黑" w:hAnsi="华文细黑" w:eastAsia="华文细黑"/>
          <w:color w:val="auto"/>
          <w:sz w:val="24"/>
          <w:lang w:val="en-US" w:eastAsia="zh-CN"/>
        </w:rPr>
        <w:t>C</w:t>
      </w:r>
      <w:r>
        <w:rPr>
          <w:rFonts w:ascii="华文细黑" w:hAnsi="华文细黑" w:eastAsia="华文细黑"/>
          <w:color w:val="auto"/>
          <w:sz w:val="24"/>
        </w:rPr>
        <w:t xml:space="preserve"> </w:t>
      </w:r>
      <w:r>
        <w:rPr>
          <w:rFonts w:hint="eastAsia" w:ascii="华文细黑" w:hAnsi="华文细黑" w:eastAsia="华文细黑"/>
          <w:color w:val="auto"/>
          <w:sz w:val="24"/>
        </w:rPr>
        <w:t>卷）</w:t>
      </w:r>
    </w:p>
    <w:p>
      <w:pPr>
        <w:tabs>
          <w:tab w:val="left" w:pos="1365"/>
        </w:tabs>
        <w:ind w:firstLine="632" w:firstLineChars="300"/>
        <w:rPr>
          <w:color w:val="auto"/>
        </w:rPr>
      </w:pPr>
      <w:r>
        <w:rPr>
          <w:rFonts w:hint="eastAsia" w:ascii="宋体" w:hAnsi="宋体"/>
          <w:b/>
          <w:bCs/>
          <w:color w:val="auto"/>
          <w:szCs w:val="21"/>
        </w:rPr>
        <w:t>一、判断题（判断正误，如果错误请进行修改。每小题</w:t>
      </w:r>
      <w:r>
        <w:rPr>
          <w:rFonts w:hint="eastAsia" w:ascii="宋体" w:hAnsi="宋体"/>
          <w:b/>
          <w:bCs/>
          <w:color w:val="auto"/>
          <w:szCs w:val="21"/>
          <w:lang w:val="en-US" w:eastAsia="zh-CN"/>
        </w:rPr>
        <w:t>1</w:t>
      </w:r>
      <w:r>
        <w:rPr>
          <w:rFonts w:hint="eastAsia" w:ascii="宋体" w:hAnsi="宋体"/>
          <w:b/>
          <w:bCs/>
          <w:color w:val="auto"/>
          <w:szCs w:val="21"/>
        </w:rPr>
        <w:t>分，共计</w:t>
      </w:r>
      <w:r>
        <w:rPr>
          <w:rFonts w:hint="eastAsia" w:ascii="宋体" w:hAnsi="宋体"/>
          <w:b/>
          <w:bCs/>
          <w:color w:val="auto"/>
          <w:szCs w:val="21"/>
          <w:lang w:val="en-US" w:eastAsia="zh-CN"/>
        </w:rPr>
        <w:t>5</w:t>
      </w:r>
      <w:r>
        <w:rPr>
          <w:rFonts w:hint="eastAsia" w:ascii="宋体" w:hAnsi="宋体"/>
          <w:b/>
          <w:bCs/>
          <w:color w:val="auto"/>
          <w:szCs w:val="21"/>
        </w:rPr>
        <w:t>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
        <w:gridCol w:w="859"/>
        <w:gridCol w:w="859"/>
        <w:gridCol w:w="859"/>
        <w:gridCol w:w="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58" w:type="dxa"/>
            <w:noWrap w:val="0"/>
            <w:vAlign w:val="top"/>
          </w:tcPr>
          <w:p>
            <w:pPr>
              <w:rPr>
                <w:color w:val="auto"/>
              </w:rPr>
            </w:pPr>
            <w:r>
              <w:rPr>
                <w:color w:val="auto"/>
              </w:rPr>
              <w:t>1</w:t>
            </w:r>
          </w:p>
        </w:tc>
        <w:tc>
          <w:tcPr>
            <w:tcW w:w="859" w:type="dxa"/>
            <w:noWrap w:val="0"/>
            <w:vAlign w:val="top"/>
          </w:tcPr>
          <w:p>
            <w:pPr>
              <w:rPr>
                <w:color w:val="auto"/>
              </w:rPr>
            </w:pPr>
            <w:r>
              <w:rPr>
                <w:color w:val="auto"/>
              </w:rPr>
              <w:t>2</w:t>
            </w:r>
          </w:p>
        </w:tc>
        <w:tc>
          <w:tcPr>
            <w:tcW w:w="859" w:type="dxa"/>
            <w:noWrap w:val="0"/>
            <w:vAlign w:val="top"/>
          </w:tcPr>
          <w:p>
            <w:pPr>
              <w:rPr>
                <w:color w:val="auto"/>
              </w:rPr>
            </w:pPr>
            <w:r>
              <w:rPr>
                <w:color w:val="auto"/>
              </w:rPr>
              <w:t>3</w:t>
            </w:r>
          </w:p>
        </w:tc>
        <w:tc>
          <w:tcPr>
            <w:tcW w:w="859" w:type="dxa"/>
            <w:noWrap w:val="0"/>
            <w:vAlign w:val="top"/>
          </w:tcPr>
          <w:p>
            <w:pPr>
              <w:rPr>
                <w:color w:val="auto"/>
              </w:rPr>
            </w:pPr>
            <w:r>
              <w:rPr>
                <w:color w:val="auto"/>
              </w:rPr>
              <w:t>4</w:t>
            </w:r>
          </w:p>
        </w:tc>
        <w:tc>
          <w:tcPr>
            <w:tcW w:w="859" w:type="dxa"/>
            <w:noWrap w:val="0"/>
            <w:vAlign w:val="top"/>
          </w:tcPr>
          <w:p>
            <w:pPr>
              <w:rPr>
                <w:color w:val="auto"/>
              </w:rPr>
            </w:pPr>
            <w:r>
              <w:rPr>
                <w:color w:val="auto"/>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58" w:type="dxa"/>
            <w:noWrap w:val="0"/>
            <w:vAlign w:val="top"/>
          </w:tcPr>
          <w:p>
            <w:pPr>
              <w:rPr>
                <w:color w:val="auto"/>
              </w:rPr>
            </w:pPr>
            <w:r>
              <w:rPr>
                <w:rFonts w:hint="default" w:ascii="Arial" w:hAnsi="Arial" w:cs="Arial"/>
                <w:color w:val="auto"/>
              </w:rPr>
              <w:t>√</w:t>
            </w:r>
          </w:p>
        </w:tc>
        <w:tc>
          <w:tcPr>
            <w:tcW w:w="859" w:type="dxa"/>
            <w:noWrap w:val="0"/>
            <w:vAlign w:val="top"/>
          </w:tcPr>
          <w:p>
            <w:pPr>
              <w:rPr>
                <w:color w:val="auto"/>
              </w:rPr>
            </w:pPr>
            <w:r>
              <w:rPr>
                <w:rFonts w:hint="default" w:ascii="Arial" w:hAnsi="Arial" w:cs="Arial"/>
                <w:color w:val="auto"/>
              </w:rPr>
              <w:t>√</w:t>
            </w:r>
          </w:p>
        </w:tc>
        <w:tc>
          <w:tcPr>
            <w:tcW w:w="859" w:type="dxa"/>
            <w:noWrap w:val="0"/>
            <w:vAlign w:val="top"/>
          </w:tcPr>
          <w:p>
            <w:pPr>
              <w:rPr>
                <w:color w:val="auto"/>
              </w:rPr>
            </w:pPr>
            <w:r>
              <w:rPr>
                <w:rFonts w:hint="default" w:ascii="Arial" w:hAnsi="Arial" w:cs="Arial"/>
                <w:color w:val="auto"/>
              </w:rPr>
              <w:t>×</w:t>
            </w:r>
          </w:p>
        </w:tc>
        <w:tc>
          <w:tcPr>
            <w:tcW w:w="859" w:type="dxa"/>
            <w:noWrap w:val="0"/>
            <w:vAlign w:val="top"/>
          </w:tcPr>
          <w:p>
            <w:pPr>
              <w:rPr>
                <w:color w:val="auto"/>
              </w:rPr>
            </w:pPr>
            <w:r>
              <w:rPr>
                <w:rFonts w:hint="default" w:ascii="Arial" w:hAnsi="Arial" w:cs="Arial"/>
                <w:color w:val="auto"/>
              </w:rPr>
              <w:t>×</w:t>
            </w:r>
          </w:p>
        </w:tc>
        <w:tc>
          <w:tcPr>
            <w:tcW w:w="859" w:type="dxa"/>
            <w:noWrap w:val="0"/>
            <w:vAlign w:val="top"/>
          </w:tcPr>
          <w:p>
            <w:pPr>
              <w:rPr>
                <w:color w:val="auto"/>
              </w:rPr>
            </w:pPr>
            <w:r>
              <w:rPr>
                <w:rFonts w:hint="default" w:ascii="Arial" w:hAnsi="Arial" w:cs="Arial"/>
                <w:color w:val="auto"/>
              </w:rPr>
              <w:t>×</w:t>
            </w:r>
          </w:p>
        </w:tc>
      </w:tr>
    </w:tbl>
    <w:p>
      <w:pPr>
        <w:ind w:left="630" w:leftChars="300"/>
        <w:rPr>
          <w:rFonts w:ascii="宋体" w:hAnsi="宋体"/>
          <w:color w:val="auto"/>
        </w:rPr>
      </w:pPr>
    </w:p>
    <w:p>
      <w:pPr>
        <w:ind w:left="554" w:leftChars="264"/>
        <w:rPr>
          <w:rFonts w:ascii="宋体" w:hAnsi="宋体"/>
          <w:b/>
          <w:color w:val="auto"/>
        </w:rPr>
      </w:pPr>
      <w:r>
        <w:rPr>
          <w:rFonts w:hint="eastAsia" w:ascii="宋体" w:hAnsi="宋体"/>
          <w:b/>
          <w:color w:val="auto"/>
        </w:rPr>
        <w:t>二、单项选择题 （每小题2分，共20分）</w:t>
      </w:r>
    </w:p>
    <w:tbl>
      <w:tblPr>
        <w:tblStyle w:val="5"/>
        <w:tblpPr w:leftFromText="180" w:rightFromText="180" w:vertAnchor="text" w:horzAnchor="page" w:tblpX="1885" w:tblpY="6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930"/>
        <w:gridCol w:w="945"/>
        <w:gridCol w:w="870"/>
        <w:gridCol w:w="840"/>
        <w:gridCol w:w="855"/>
        <w:gridCol w:w="855"/>
        <w:gridCol w:w="870"/>
        <w:gridCol w:w="825"/>
        <w:gridCol w:w="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noWrap w:val="0"/>
            <w:vAlign w:val="center"/>
          </w:tcPr>
          <w:p>
            <w:pPr>
              <w:adjustRightInd w:val="0"/>
              <w:jc w:val="center"/>
              <w:rPr>
                <w:rFonts w:ascii="宋体" w:hAnsi="宋体"/>
                <w:b/>
                <w:color w:val="auto"/>
                <w:szCs w:val="21"/>
              </w:rPr>
            </w:pPr>
            <w:r>
              <w:rPr>
                <w:rFonts w:hint="eastAsia" w:ascii="宋体" w:hAnsi="宋体"/>
                <w:b/>
                <w:color w:val="auto"/>
                <w:szCs w:val="21"/>
              </w:rPr>
              <w:t>1</w:t>
            </w:r>
          </w:p>
        </w:tc>
        <w:tc>
          <w:tcPr>
            <w:tcW w:w="930" w:type="dxa"/>
            <w:noWrap w:val="0"/>
            <w:vAlign w:val="center"/>
          </w:tcPr>
          <w:p>
            <w:pPr>
              <w:adjustRightInd w:val="0"/>
              <w:jc w:val="center"/>
              <w:rPr>
                <w:rFonts w:ascii="宋体" w:hAnsi="宋体"/>
                <w:b/>
                <w:color w:val="auto"/>
                <w:szCs w:val="21"/>
              </w:rPr>
            </w:pPr>
            <w:r>
              <w:rPr>
                <w:rFonts w:hint="eastAsia" w:ascii="宋体" w:hAnsi="宋体"/>
                <w:b/>
                <w:color w:val="auto"/>
                <w:szCs w:val="21"/>
              </w:rPr>
              <w:t>2</w:t>
            </w:r>
          </w:p>
        </w:tc>
        <w:tc>
          <w:tcPr>
            <w:tcW w:w="945" w:type="dxa"/>
            <w:noWrap w:val="0"/>
            <w:vAlign w:val="top"/>
          </w:tcPr>
          <w:p>
            <w:pPr>
              <w:adjustRightInd w:val="0"/>
              <w:jc w:val="center"/>
              <w:rPr>
                <w:rFonts w:ascii="宋体" w:hAnsi="宋体"/>
                <w:b/>
                <w:color w:val="auto"/>
                <w:szCs w:val="21"/>
              </w:rPr>
            </w:pPr>
            <w:r>
              <w:rPr>
                <w:rFonts w:hint="eastAsia" w:ascii="宋体" w:hAnsi="宋体"/>
                <w:b/>
                <w:color w:val="auto"/>
                <w:szCs w:val="21"/>
              </w:rPr>
              <w:t>3</w:t>
            </w:r>
          </w:p>
        </w:tc>
        <w:tc>
          <w:tcPr>
            <w:tcW w:w="870" w:type="dxa"/>
            <w:noWrap w:val="0"/>
            <w:vAlign w:val="top"/>
          </w:tcPr>
          <w:p>
            <w:pPr>
              <w:adjustRightInd w:val="0"/>
              <w:jc w:val="center"/>
              <w:rPr>
                <w:rFonts w:ascii="宋体" w:hAnsi="宋体"/>
                <w:b/>
                <w:color w:val="auto"/>
                <w:szCs w:val="21"/>
              </w:rPr>
            </w:pPr>
            <w:r>
              <w:rPr>
                <w:rFonts w:hint="eastAsia" w:ascii="宋体" w:hAnsi="宋体"/>
                <w:b/>
                <w:color w:val="auto"/>
                <w:szCs w:val="21"/>
              </w:rPr>
              <w:t>4</w:t>
            </w:r>
          </w:p>
        </w:tc>
        <w:tc>
          <w:tcPr>
            <w:tcW w:w="840" w:type="dxa"/>
            <w:noWrap w:val="0"/>
            <w:vAlign w:val="top"/>
          </w:tcPr>
          <w:p>
            <w:pPr>
              <w:adjustRightInd w:val="0"/>
              <w:jc w:val="center"/>
              <w:rPr>
                <w:rFonts w:ascii="宋体" w:hAnsi="宋体"/>
                <w:b/>
                <w:color w:val="auto"/>
                <w:szCs w:val="21"/>
              </w:rPr>
            </w:pPr>
            <w:r>
              <w:rPr>
                <w:rFonts w:hint="eastAsia" w:ascii="宋体" w:hAnsi="宋体"/>
                <w:b/>
                <w:color w:val="auto"/>
                <w:szCs w:val="21"/>
              </w:rPr>
              <w:t>5</w:t>
            </w:r>
          </w:p>
        </w:tc>
        <w:tc>
          <w:tcPr>
            <w:tcW w:w="855" w:type="dxa"/>
            <w:noWrap w:val="0"/>
            <w:vAlign w:val="top"/>
          </w:tcPr>
          <w:p>
            <w:pPr>
              <w:adjustRightInd w:val="0"/>
              <w:jc w:val="center"/>
              <w:rPr>
                <w:rFonts w:ascii="宋体" w:hAnsi="宋体"/>
                <w:b/>
                <w:color w:val="auto"/>
                <w:szCs w:val="21"/>
              </w:rPr>
            </w:pPr>
            <w:r>
              <w:rPr>
                <w:rFonts w:hint="eastAsia" w:ascii="宋体" w:hAnsi="宋体"/>
                <w:b/>
                <w:color w:val="auto"/>
                <w:szCs w:val="21"/>
              </w:rPr>
              <w:t>6</w:t>
            </w:r>
          </w:p>
        </w:tc>
        <w:tc>
          <w:tcPr>
            <w:tcW w:w="855" w:type="dxa"/>
            <w:noWrap w:val="0"/>
            <w:vAlign w:val="top"/>
          </w:tcPr>
          <w:p>
            <w:pPr>
              <w:adjustRightInd w:val="0"/>
              <w:jc w:val="center"/>
              <w:rPr>
                <w:rFonts w:ascii="宋体" w:hAnsi="宋体"/>
                <w:b/>
                <w:color w:val="auto"/>
                <w:szCs w:val="21"/>
              </w:rPr>
            </w:pPr>
            <w:r>
              <w:rPr>
                <w:rFonts w:hint="eastAsia" w:ascii="宋体" w:hAnsi="宋体"/>
                <w:b/>
                <w:color w:val="auto"/>
                <w:szCs w:val="21"/>
              </w:rPr>
              <w:t>7</w:t>
            </w:r>
          </w:p>
        </w:tc>
        <w:tc>
          <w:tcPr>
            <w:tcW w:w="870" w:type="dxa"/>
            <w:noWrap w:val="0"/>
            <w:vAlign w:val="center"/>
          </w:tcPr>
          <w:p>
            <w:pPr>
              <w:adjustRightInd w:val="0"/>
              <w:jc w:val="center"/>
              <w:rPr>
                <w:rFonts w:ascii="宋体" w:hAnsi="宋体"/>
                <w:b/>
                <w:color w:val="auto"/>
                <w:szCs w:val="21"/>
              </w:rPr>
            </w:pPr>
            <w:r>
              <w:rPr>
                <w:rFonts w:hint="eastAsia" w:ascii="宋体" w:hAnsi="宋体"/>
                <w:b/>
                <w:color w:val="auto"/>
                <w:szCs w:val="21"/>
              </w:rPr>
              <w:t>8</w:t>
            </w:r>
          </w:p>
        </w:tc>
        <w:tc>
          <w:tcPr>
            <w:tcW w:w="825" w:type="dxa"/>
            <w:noWrap w:val="0"/>
            <w:vAlign w:val="center"/>
          </w:tcPr>
          <w:p>
            <w:pPr>
              <w:adjustRightInd w:val="0"/>
              <w:jc w:val="center"/>
              <w:rPr>
                <w:rFonts w:ascii="宋体" w:hAnsi="宋体"/>
                <w:b/>
                <w:color w:val="auto"/>
                <w:szCs w:val="21"/>
              </w:rPr>
            </w:pPr>
            <w:r>
              <w:rPr>
                <w:rFonts w:hint="eastAsia" w:ascii="宋体" w:hAnsi="宋体"/>
                <w:b/>
                <w:color w:val="auto"/>
                <w:szCs w:val="21"/>
              </w:rPr>
              <w:t>9</w:t>
            </w:r>
          </w:p>
        </w:tc>
        <w:tc>
          <w:tcPr>
            <w:tcW w:w="885" w:type="dxa"/>
            <w:tcBorders>
              <w:right w:val="single" w:color="auto" w:sz="4" w:space="0"/>
            </w:tcBorders>
            <w:noWrap w:val="0"/>
            <w:vAlign w:val="center"/>
          </w:tcPr>
          <w:p>
            <w:pPr>
              <w:adjustRightInd w:val="0"/>
              <w:jc w:val="center"/>
              <w:rPr>
                <w:rFonts w:ascii="宋体" w:hAnsi="宋体"/>
                <w:b/>
                <w:color w:val="auto"/>
                <w:szCs w:val="21"/>
              </w:rPr>
            </w:pPr>
            <w:r>
              <w:rPr>
                <w:rFonts w:hint="eastAsia" w:ascii="宋体" w:hAnsi="宋体"/>
                <w:b/>
                <w:color w:val="auto"/>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noWrap w:val="0"/>
            <w:vAlign w:val="center"/>
          </w:tcPr>
          <w:p>
            <w:pPr>
              <w:adjustRightInd w:val="0"/>
              <w:jc w:val="center"/>
              <w:rPr>
                <w:rFonts w:hint="default" w:ascii="宋体" w:hAnsi="宋体" w:eastAsia="宋体"/>
                <w:color w:val="auto"/>
                <w:szCs w:val="21"/>
                <w:lang w:val="en-US" w:eastAsia="zh-CN"/>
              </w:rPr>
            </w:pPr>
            <w:r>
              <w:rPr>
                <w:rFonts w:hint="eastAsia" w:ascii="宋体" w:hAnsi="宋体" w:eastAsia="宋体"/>
                <w:color w:val="auto"/>
                <w:szCs w:val="21"/>
                <w:lang w:val="en-US" w:eastAsia="zh-CN"/>
              </w:rPr>
              <w:t>B</w:t>
            </w:r>
          </w:p>
        </w:tc>
        <w:tc>
          <w:tcPr>
            <w:tcW w:w="930" w:type="dxa"/>
            <w:noWrap w:val="0"/>
            <w:vAlign w:val="center"/>
          </w:tcPr>
          <w:p>
            <w:pPr>
              <w:adjustRightInd w:val="0"/>
              <w:jc w:val="center"/>
              <w:rPr>
                <w:rFonts w:hint="eastAsia" w:ascii="宋体" w:hAnsi="宋体" w:eastAsia="宋体"/>
                <w:color w:val="auto"/>
                <w:szCs w:val="21"/>
                <w:lang w:val="en-US" w:eastAsia="zh-CN"/>
              </w:rPr>
            </w:pPr>
            <w:r>
              <w:rPr>
                <w:rFonts w:hint="eastAsia" w:ascii="宋体" w:hAnsi="宋体"/>
                <w:color w:val="auto"/>
                <w:szCs w:val="21"/>
                <w:lang w:val="en-US" w:eastAsia="zh-CN"/>
              </w:rPr>
              <w:t>D</w:t>
            </w:r>
          </w:p>
        </w:tc>
        <w:tc>
          <w:tcPr>
            <w:tcW w:w="945" w:type="dxa"/>
            <w:noWrap w:val="0"/>
            <w:vAlign w:val="top"/>
          </w:tcPr>
          <w:p>
            <w:pPr>
              <w:adjustRightInd w:val="0"/>
              <w:jc w:val="center"/>
              <w:rPr>
                <w:rFonts w:hint="default" w:ascii="宋体" w:hAnsi="宋体" w:eastAsia="宋体"/>
                <w:color w:val="auto"/>
                <w:szCs w:val="21"/>
                <w:lang w:val="en-US" w:eastAsia="zh-CN"/>
              </w:rPr>
            </w:pPr>
            <w:r>
              <w:rPr>
                <w:rFonts w:hint="eastAsia" w:ascii="宋体" w:hAnsi="宋体" w:eastAsia="宋体"/>
                <w:color w:val="auto"/>
                <w:szCs w:val="21"/>
                <w:lang w:val="en-US" w:eastAsia="zh-CN"/>
              </w:rPr>
              <w:t>A</w:t>
            </w:r>
          </w:p>
        </w:tc>
        <w:tc>
          <w:tcPr>
            <w:tcW w:w="870" w:type="dxa"/>
            <w:noWrap w:val="0"/>
            <w:vAlign w:val="top"/>
          </w:tcPr>
          <w:p>
            <w:pPr>
              <w:adjustRightInd w:val="0"/>
              <w:jc w:val="center"/>
              <w:rPr>
                <w:rFonts w:hint="default" w:ascii="宋体" w:hAnsi="宋体" w:eastAsia="宋体"/>
                <w:color w:val="auto"/>
                <w:szCs w:val="21"/>
                <w:lang w:val="en-US" w:eastAsia="zh-CN"/>
              </w:rPr>
            </w:pPr>
            <w:r>
              <w:rPr>
                <w:rFonts w:hint="eastAsia" w:ascii="宋体" w:hAnsi="宋体" w:eastAsia="宋体"/>
                <w:color w:val="auto"/>
                <w:szCs w:val="21"/>
                <w:lang w:val="en-US" w:eastAsia="zh-CN"/>
              </w:rPr>
              <w:t>A</w:t>
            </w:r>
          </w:p>
        </w:tc>
        <w:tc>
          <w:tcPr>
            <w:tcW w:w="840" w:type="dxa"/>
            <w:noWrap w:val="0"/>
            <w:vAlign w:val="top"/>
          </w:tcPr>
          <w:p>
            <w:pPr>
              <w:adjustRightInd w:val="0"/>
              <w:jc w:val="center"/>
              <w:rPr>
                <w:rFonts w:hint="default" w:ascii="宋体" w:hAnsi="宋体" w:eastAsia="宋体"/>
                <w:color w:val="auto"/>
                <w:szCs w:val="21"/>
                <w:lang w:val="en-US" w:eastAsia="zh-CN"/>
              </w:rPr>
            </w:pPr>
            <w:r>
              <w:rPr>
                <w:rFonts w:hint="eastAsia" w:ascii="宋体" w:hAnsi="宋体" w:eastAsia="宋体"/>
                <w:color w:val="auto"/>
                <w:szCs w:val="21"/>
                <w:lang w:val="en-US" w:eastAsia="zh-CN"/>
              </w:rPr>
              <w:t>B</w:t>
            </w:r>
          </w:p>
        </w:tc>
        <w:tc>
          <w:tcPr>
            <w:tcW w:w="855" w:type="dxa"/>
            <w:noWrap w:val="0"/>
            <w:vAlign w:val="top"/>
          </w:tcPr>
          <w:p>
            <w:pPr>
              <w:adjustRightInd w:val="0"/>
              <w:jc w:val="center"/>
              <w:rPr>
                <w:rFonts w:hint="default" w:ascii="宋体" w:hAnsi="宋体" w:eastAsia="宋体"/>
                <w:color w:val="auto"/>
                <w:szCs w:val="21"/>
                <w:lang w:val="en-US" w:eastAsia="zh-CN"/>
              </w:rPr>
            </w:pPr>
            <w:r>
              <w:rPr>
                <w:rFonts w:hint="eastAsia" w:ascii="宋体" w:hAnsi="宋体" w:eastAsia="宋体"/>
                <w:color w:val="auto"/>
                <w:szCs w:val="21"/>
                <w:lang w:val="en-US" w:eastAsia="zh-CN"/>
              </w:rPr>
              <w:t>C</w:t>
            </w:r>
          </w:p>
        </w:tc>
        <w:tc>
          <w:tcPr>
            <w:tcW w:w="855" w:type="dxa"/>
            <w:noWrap w:val="0"/>
            <w:vAlign w:val="top"/>
          </w:tcPr>
          <w:p>
            <w:pPr>
              <w:adjustRightInd w:val="0"/>
              <w:jc w:val="center"/>
              <w:rPr>
                <w:rFonts w:hint="default" w:ascii="宋体" w:hAnsi="宋体" w:eastAsia="宋体"/>
                <w:color w:val="auto"/>
                <w:szCs w:val="21"/>
                <w:lang w:val="en-US" w:eastAsia="zh-CN"/>
              </w:rPr>
            </w:pPr>
            <w:r>
              <w:rPr>
                <w:rFonts w:hint="eastAsia" w:ascii="宋体" w:hAnsi="宋体" w:eastAsia="宋体"/>
                <w:color w:val="auto"/>
                <w:szCs w:val="21"/>
                <w:lang w:val="en-US" w:eastAsia="zh-CN"/>
              </w:rPr>
              <w:t>B</w:t>
            </w:r>
          </w:p>
        </w:tc>
        <w:tc>
          <w:tcPr>
            <w:tcW w:w="870" w:type="dxa"/>
            <w:noWrap w:val="0"/>
            <w:vAlign w:val="center"/>
          </w:tcPr>
          <w:p>
            <w:pPr>
              <w:adjustRightInd w:val="0"/>
              <w:jc w:val="center"/>
              <w:rPr>
                <w:rFonts w:hint="default" w:ascii="宋体" w:hAnsi="宋体" w:eastAsia="宋体"/>
                <w:color w:val="auto"/>
                <w:szCs w:val="21"/>
                <w:lang w:val="en-US" w:eastAsia="zh-CN"/>
              </w:rPr>
            </w:pPr>
            <w:r>
              <w:rPr>
                <w:rFonts w:hint="eastAsia" w:ascii="宋体" w:hAnsi="宋体" w:eastAsia="宋体"/>
                <w:color w:val="auto"/>
                <w:szCs w:val="21"/>
                <w:lang w:val="en-US" w:eastAsia="zh-CN"/>
              </w:rPr>
              <w:t>D</w:t>
            </w:r>
          </w:p>
        </w:tc>
        <w:tc>
          <w:tcPr>
            <w:tcW w:w="825" w:type="dxa"/>
            <w:noWrap w:val="0"/>
            <w:vAlign w:val="center"/>
          </w:tcPr>
          <w:p>
            <w:pPr>
              <w:adjustRightInd w:val="0"/>
              <w:jc w:val="center"/>
              <w:rPr>
                <w:rFonts w:hint="default" w:ascii="宋体" w:hAnsi="宋体" w:eastAsia="宋体"/>
                <w:color w:val="auto"/>
                <w:szCs w:val="21"/>
                <w:lang w:val="en-US" w:eastAsia="zh-CN"/>
              </w:rPr>
            </w:pPr>
            <w:r>
              <w:rPr>
                <w:rFonts w:hint="eastAsia" w:ascii="宋体" w:hAnsi="宋体" w:eastAsia="宋体"/>
                <w:color w:val="auto"/>
                <w:szCs w:val="21"/>
                <w:lang w:val="en-US" w:eastAsia="zh-CN"/>
              </w:rPr>
              <w:t>B</w:t>
            </w:r>
          </w:p>
        </w:tc>
        <w:tc>
          <w:tcPr>
            <w:tcW w:w="885" w:type="dxa"/>
            <w:tcBorders>
              <w:right w:val="single" w:color="auto" w:sz="4" w:space="0"/>
            </w:tcBorders>
            <w:noWrap w:val="0"/>
            <w:vAlign w:val="center"/>
          </w:tcPr>
          <w:p>
            <w:pPr>
              <w:adjustRightInd w:val="0"/>
              <w:jc w:val="center"/>
              <w:rPr>
                <w:rFonts w:hint="default" w:ascii="宋体" w:hAnsi="宋体" w:eastAsia="宋体"/>
                <w:color w:val="auto"/>
                <w:szCs w:val="21"/>
                <w:lang w:val="en-US" w:eastAsia="zh-CN"/>
              </w:rPr>
            </w:pPr>
            <w:r>
              <w:rPr>
                <w:rFonts w:hint="eastAsia" w:ascii="宋体" w:hAnsi="宋体" w:eastAsia="宋体"/>
                <w:color w:val="auto"/>
                <w:szCs w:val="21"/>
                <w:lang w:val="en-US" w:eastAsia="zh-CN"/>
              </w:rPr>
              <w:t>B</w:t>
            </w:r>
          </w:p>
        </w:tc>
      </w:tr>
    </w:tbl>
    <w:p>
      <w:pPr>
        <w:spacing w:line="520" w:lineRule="exact"/>
        <w:ind w:left="630" w:leftChars="300" w:firstLine="207" w:firstLineChars="98"/>
        <w:jc w:val="left"/>
        <w:rPr>
          <w:rFonts w:ascii="宋体" w:hAnsi="宋体"/>
          <w:b/>
          <w:bCs/>
          <w:color w:val="auto"/>
          <w:szCs w:val="21"/>
        </w:rPr>
      </w:pPr>
    </w:p>
    <w:p>
      <w:pPr>
        <w:rPr>
          <w:rFonts w:ascii="宋体" w:hAnsi="宋体"/>
          <w:b/>
          <w:bCs/>
          <w:color w:val="auto"/>
          <w:szCs w:val="21"/>
        </w:rPr>
      </w:pPr>
      <w:r>
        <w:rPr>
          <w:rFonts w:hint="eastAsia" w:ascii="宋体" w:hAnsi="宋体"/>
          <w:b/>
          <w:bCs/>
          <w:color w:val="auto"/>
          <w:szCs w:val="21"/>
        </w:rPr>
        <w:t xml:space="preserve">     三、多项选择题</w:t>
      </w:r>
      <w:r>
        <w:rPr>
          <w:rFonts w:hint="eastAsia" w:ascii="宋体" w:hAnsi="宋体"/>
          <w:b/>
          <w:color w:val="auto"/>
        </w:rPr>
        <w:t>（每小题</w:t>
      </w:r>
      <w:r>
        <w:rPr>
          <w:rFonts w:hint="eastAsia" w:ascii="宋体" w:hAnsi="宋体"/>
          <w:b/>
          <w:color w:val="auto"/>
          <w:lang w:val="en-US" w:eastAsia="zh-CN"/>
        </w:rPr>
        <w:t>2</w:t>
      </w:r>
      <w:r>
        <w:rPr>
          <w:rFonts w:hint="eastAsia" w:ascii="宋体" w:hAnsi="宋体"/>
          <w:b/>
          <w:color w:val="auto"/>
        </w:rPr>
        <w:t>分，共1</w:t>
      </w:r>
      <w:r>
        <w:rPr>
          <w:rFonts w:hint="eastAsia" w:ascii="宋体" w:hAnsi="宋体"/>
          <w:b/>
          <w:color w:val="auto"/>
          <w:lang w:val="en-US" w:eastAsia="zh-CN"/>
        </w:rPr>
        <w:t>0</w:t>
      </w:r>
      <w:r>
        <w:rPr>
          <w:rFonts w:hint="eastAsia" w:ascii="宋体" w:hAnsi="宋体"/>
          <w:b/>
          <w:color w:val="auto"/>
        </w:rPr>
        <w:t>分）</w:t>
      </w:r>
    </w:p>
    <w:tbl>
      <w:tblPr>
        <w:tblStyle w:val="5"/>
        <w:tblpPr w:leftFromText="180" w:rightFromText="180" w:vertAnchor="text" w:horzAnchor="page" w:tblpX="1885" w:tblpY="6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0"/>
        <w:gridCol w:w="1001"/>
        <w:gridCol w:w="1001"/>
        <w:gridCol w:w="1001"/>
        <w:gridCol w:w="1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dxa"/>
            <w:noWrap w:val="0"/>
            <w:vAlign w:val="center"/>
          </w:tcPr>
          <w:p>
            <w:pPr>
              <w:adjustRightInd w:val="0"/>
              <w:jc w:val="center"/>
              <w:rPr>
                <w:rFonts w:ascii="宋体" w:hAnsi="宋体"/>
                <w:b/>
                <w:color w:val="auto"/>
                <w:szCs w:val="21"/>
              </w:rPr>
            </w:pPr>
            <w:r>
              <w:rPr>
                <w:rFonts w:hint="eastAsia" w:ascii="宋体" w:hAnsi="宋体"/>
                <w:b/>
                <w:color w:val="auto"/>
                <w:szCs w:val="21"/>
              </w:rPr>
              <w:t>1</w:t>
            </w:r>
          </w:p>
        </w:tc>
        <w:tc>
          <w:tcPr>
            <w:tcW w:w="1001" w:type="dxa"/>
            <w:noWrap w:val="0"/>
            <w:vAlign w:val="center"/>
          </w:tcPr>
          <w:p>
            <w:pPr>
              <w:adjustRightInd w:val="0"/>
              <w:jc w:val="center"/>
              <w:rPr>
                <w:rFonts w:ascii="宋体" w:hAnsi="宋体"/>
                <w:b/>
                <w:color w:val="auto"/>
                <w:szCs w:val="21"/>
              </w:rPr>
            </w:pPr>
            <w:r>
              <w:rPr>
                <w:rFonts w:hint="eastAsia" w:ascii="宋体" w:hAnsi="宋体"/>
                <w:b/>
                <w:color w:val="auto"/>
                <w:szCs w:val="21"/>
              </w:rPr>
              <w:t>2</w:t>
            </w:r>
          </w:p>
        </w:tc>
        <w:tc>
          <w:tcPr>
            <w:tcW w:w="1001" w:type="dxa"/>
            <w:noWrap w:val="0"/>
            <w:vAlign w:val="center"/>
          </w:tcPr>
          <w:p>
            <w:pPr>
              <w:adjustRightInd w:val="0"/>
              <w:jc w:val="center"/>
              <w:rPr>
                <w:rFonts w:ascii="宋体" w:hAnsi="宋体"/>
                <w:b/>
                <w:color w:val="auto"/>
                <w:szCs w:val="21"/>
              </w:rPr>
            </w:pPr>
            <w:r>
              <w:rPr>
                <w:rFonts w:hint="eastAsia" w:ascii="宋体" w:hAnsi="宋体"/>
                <w:b/>
                <w:color w:val="auto"/>
                <w:szCs w:val="21"/>
              </w:rPr>
              <w:t>3</w:t>
            </w:r>
          </w:p>
        </w:tc>
        <w:tc>
          <w:tcPr>
            <w:tcW w:w="1001" w:type="dxa"/>
            <w:noWrap w:val="0"/>
            <w:vAlign w:val="center"/>
          </w:tcPr>
          <w:p>
            <w:pPr>
              <w:adjustRightInd w:val="0"/>
              <w:jc w:val="center"/>
              <w:rPr>
                <w:rFonts w:ascii="宋体" w:hAnsi="宋体"/>
                <w:b/>
                <w:color w:val="auto"/>
                <w:szCs w:val="21"/>
              </w:rPr>
            </w:pPr>
            <w:r>
              <w:rPr>
                <w:rFonts w:hint="eastAsia" w:ascii="宋体" w:hAnsi="宋体"/>
                <w:b/>
                <w:color w:val="auto"/>
                <w:szCs w:val="21"/>
              </w:rPr>
              <w:t>4</w:t>
            </w:r>
          </w:p>
        </w:tc>
        <w:tc>
          <w:tcPr>
            <w:tcW w:w="1001" w:type="dxa"/>
            <w:tcBorders>
              <w:right w:val="single" w:color="auto" w:sz="4" w:space="0"/>
            </w:tcBorders>
            <w:noWrap w:val="0"/>
            <w:vAlign w:val="center"/>
          </w:tcPr>
          <w:p>
            <w:pPr>
              <w:adjustRightInd w:val="0"/>
              <w:jc w:val="center"/>
              <w:rPr>
                <w:rFonts w:ascii="宋体" w:hAnsi="宋体"/>
                <w:b/>
                <w:color w:val="auto"/>
                <w:szCs w:val="21"/>
              </w:rPr>
            </w:pPr>
            <w:r>
              <w:rPr>
                <w:rFonts w:hint="eastAsia" w:ascii="宋体" w:hAnsi="宋体"/>
                <w:b/>
                <w:color w:val="auto"/>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dxa"/>
            <w:noWrap w:val="0"/>
            <w:vAlign w:val="center"/>
          </w:tcPr>
          <w:p>
            <w:pPr>
              <w:adjustRightInd w:val="0"/>
              <w:jc w:val="center"/>
              <w:rPr>
                <w:rFonts w:hint="default" w:ascii="宋体" w:hAnsi="宋体" w:eastAsia="宋体"/>
                <w:color w:val="auto"/>
                <w:szCs w:val="21"/>
                <w:lang w:val="en-US" w:eastAsia="zh-CN"/>
              </w:rPr>
            </w:pPr>
            <w:r>
              <w:rPr>
                <w:rFonts w:hint="eastAsia" w:ascii="宋体" w:hAnsi="宋体" w:eastAsia="宋体"/>
                <w:color w:val="auto"/>
                <w:szCs w:val="21"/>
                <w:lang w:val="en-US" w:eastAsia="zh-CN"/>
              </w:rPr>
              <w:t>ABCD</w:t>
            </w:r>
          </w:p>
        </w:tc>
        <w:tc>
          <w:tcPr>
            <w:tcW w:w="1001" w:type="dxa"/>
            <w:noWrap w:val="0"/>
            <w:vAlign w:val="center"/>
          </w:tcPr>
          <w:p>
            <w:pPr>
              <w:adjustRightInd w:val="0"/>
              <w:jc w:val="center"/>
              <w:rPr>
                <w:rFonts w:hint="default" w:ascii="宋体" w:hAnsi="宋体" w:eastAsia="宋体"/>
                <w:color w:val="auto"/>
                <w:szCs w:val="21"/>
                <w:lang w:val="en-US" w:eastAsia="zh-CN"/>
              </w:rPr>
            </w:pPr>
            <w:r>
              <w:rPr>
                <w:rFonts w:hint="eastAsia" w:ascii="宋体" w:hAnsi="宋体"/>
                <w:color w:val="auto"/>
                <w:szCs w:val="21"/>
                <w:lang w:val="en-US" w:eastAsia="zh-CN"/>
              </w:rPr>
              <w:t>ABD</w:t>
            </w:r>
          </w:p>
        </w:tc>
        <w:tc>
          <w:tcPr>
            <w:tcW w:w="1001" w:type="dxa"/>
            <w:noWrap w:val="0"/>
            <w:vAlign w:val="center"/>
          </w:tcPr>
          <w:p>
            <w:pPr>
              <w:adjustRightInd w:val="0"/>
              <w:jc w:val="center"/>
              <w:rPr>
                <w:rFonts w:hint="default" w:ascii="宋体" w:hAnsi="宋体" w:eastAsia="宋体"/>
                <w:color w:val="auto"/>
                <w:szCs w:val="21"/>
                <w:lang w:val="en-US" w:eastAsia="zh-CN"/>
              </w:rPr>
            </w:pPr>
            <w:r>
              <w:rPr>
                <w:rFonts w:hint="eastAsia" w:ascii="宋体" w:hAnsi="宋体"/>
                <w:color w:val="auto"/>
                <w:szCs w:val="21"/>
                <w:lang w:val="en-US" w:eastAsia="zh-CN"/>
              </w:rPr>
              <w:t>BCD</w:t>
            </w:r>
          </w:p>
        </w:tc>
        <w:tc>
          <w:tcPr>
            <w:tcW w:w="1001" w:type="dxa"/>
            <w:noWrap w:val="0"/>
            <w:vAlign w:val="center"/>
          </w:tcPr>
          <w:p>
            <w:pPr>
              <w:adjustRightInd w:val="0"/>
              <w:jc w:val="center"/>
              <w:rPr>
                <w:rFonts w:hint="default" w:ascii="宋体" w:hAnsi="宋体" w:eastAsia="宋体"/>
                <w:color w:val="auto"/>
                <w:szCs w:val="21"/>
                <w:lang w:val="en-US" w:eastAsia="zh-CN"/>
              </w:rPr>
            </w:pPr>
            <w:r>
              <w:rPr>
                <w:rFonts w:hint="eastAsia" w:ascii="宋体" w:hAnsi="宋体" w:eastAsia="宋体"/>
                <w:color w:val="auto"/>
                <w:szCs w:val="21"/>
                <w:lang w:val="en-US" w:eastAsia="zh-CN"/>
              </w:rPr>
              <w:t>ABD</w:t>
            </w:r>
          </w:p>
        </w:tc>
        <w:tc>
          <w:tcPr>
            <w:tcW w:w="1001" w:type="dxa"/>
            <w:tcBorders>
              <w:right w:val="single" w:color="auto" w:sz="4" w:space="0"/>
            </w:tcBorders>
            <w:noWrap w:val="0"/>
            <w:vAlign w:val="center"/>
          </w:tcPr>
          <w:p>
            <w:pPr>
              <w:adjustRightInd w:val="0"/>
              <w:jc w:val="center"/>
              <w:rPr>
                <w:rFonts w:hint="default" w:ascii="宋体" w:hAnsi="宋体" w:eastAsia="宋体"/>
                <w:color w:val="auto"/>
                <w:szCs w:val="21"/>
                <w:lang w:val="en-US" w:eastAsia="zh-CN"/>
              </w:rPr>
            </w:pPr>
            <w:r>
              <w:rPr>
                <w:rFonts w:hint="eastAsia" w:ascii="宋体" w:hAnsi="宋体" w:eastAsia="宋体"/>
                <w:color w:val="auto"/>
                <w:szCs w:val="21"/>
                <w:lang w:val="en-US" w:eastAsia="zh-CN"/>
              </w:rPr>
              <w:t>ABCD</w:t>
            </w:r>
          </w:p>
        </w:tc>
      </w:tr>
    </w:tbl>
    <w:p>
      <w:pPr>
        <w:spacing w:line="520" w:lineRule="exact"/>
        <w:jc w:val="left"/>
        <w:rPr>
          <w:rFonts w:ascii="宋体" w:hAnsi="宋体"/>
          <w:b/>
          <w:bCs/>
          <w:color w:val="auto"/>
          <w:szCs w:val="21"/>
        </w:rPr>
      </w:pPr>
    </w:p>
    <w:p>
      <w:pPr>
        <w:tabs>
          <w:tab w:val="left" w:pos="1365"/>
        </w:tabs>
        <w:rPr>
          <w:color w:val="auto"/>
        </w:rPr>
      </w:pPr>
    </w:p>
    <w:p>
      <w:pPr>
        <w:spacing w:line="240" w:lineRule="exact"/>
        <w:ind w:firstLine="735" w:firstLineChars="350"/>
        <w:rPr>
          <w:color w:val="auto"/>
        </w:rPr>
      </w:pPr>
    </w:p>
    <w:p>
      <w:pPr>
        <w:rPr>
          <w:rFonts w:cs="宋体"/>
          <w:b/>
          <w:color w:val="auto"/>
          <w:szCs w:val="21"/>
        </w:rPr>
      </w:pPr>
      <w:r>
        <w:rPr>
          <w:rFonts w:hint="eastAsia" w:cs="宋体"/>
          <w:b/>
          <w:color w:val="auto"/>
          <w:szCs w:val="21"/>
        </w:rPr>
        <w:t>四、</w:t>
      </w:r>
      <w:r>
        <w:rPr>
          <w:rFonts w:hint="eastAsia" w:cs="宋体"/>
          <w:b/>
          <w:color w:val="auto"/>
          <w:szCs w:val="21"/>
          <w:lang w:val="en-US" w:eastAsia="zh-CN"/>
        </w:rPr>
        <w:t>简答题</w:t>
      </w:r>
      <w:r>
        <w:rPr>
          <w:rFonts w:hint="eastAsia" w:cs="宋体"/>
          <w:b/>
          <w:color w:val="auto"/>
          <w:szCs w:val="21"/>
        </w:rPr>
        <w:t>（</w:t>
      </w:r>
      <w:r>
        <w:rPr>
          <w:rFonts w:hint="eastAsia" w:cs="宋体"/>
          <w:b/>
          <w:color w:val="auto"/>
          <w:szCs w:val="21"/>
          <w:lang w:val="en-US" w:eastAsia="zh-CN"/>
        </w:rPr>
        <w:t>第1</w:t>
      </w:r>
      <w:r>
        <w:rPr>
          <w:rFonts w:hint="eastAsia" w:cs="宋体"/>
          <w:b/>
          <w:color w:val="auto"/>
          <w:szCs w:val="21"/>
        </w:rPr>
        <w:t>题5分，</w:t>
      </w:r>
      <w:r>
        <w:rPr>
          <w:rFonts w:hint="eastAsia" w:cs="宋体"/>
          <w:b/>
          <w:color w:val="auto"/>
          <w:szCs w:val="21"/>
          <w:lang w:val="en-US" w:eastAsia="zh-CN"/>
        </w:rPr>
        <w:t>第2题6分，第2题6分，</w:t>
      </w:r>
      <w:r>
        <w:rPr>
          <w:rFonts w:hint="eastAsia" w:cs="宋体"/>
          <w:b/>
          <w:color w:val="auto"/>
          <w:szCs w:val="21"/>
        </w:rPr>
        <w:t>共</w:t>
      </w:r>
      <w:r>
        <w:rPr>
          <w:rFonts w:hint="eastAsia" w:cs="宋体"/>
          <w:b/>
          <w:color w:val="auto"/>
          <w:szCs w:val="21"/>
          <w:lang w:val="en-US" w:eastAsia="zh-CN"/>
        </w:rPr>
        <w:t>17</w:t>
      </w:r>
      <w:r>
        <w:rPr>
          <w:rFonts w:hint="eastAsia" w:cs="宋体"/>
          <w:b/>
          <w:color w:val="auto"/>
          <w:szCs w:val="21"/>
        </w:rPr>
        <w:t>分）</w:t>
      </w:r>
    </w:p>
    <w:p>
      <w:pPr>
        <w:widowControl w:val="0"/>
        <w:numPr>
          <w:ilvl w:val="0"/>
          <w:numId w:val="0"/>
        </w:numPr>
        <w:jc w:val="both"/>
        <w:rPr>
          <w:rFonts w:hint="eastAsia"/>
          <w:color w:val="auto"/>
          <w:lang w:val="en-US" w:eastAsia="zh-CN"/>
        </w:rPr>
      </w:pPr>
      <w:r>
        <w:rPr>
          <w:rFonts w:hint="eastAsia" w:ascii="宋体" w:hAnsi="宋体"/>
          <w:b/>
          <w:color w:val="auto"/>
          <w:szCs w:val="21"/>
        </w:rPr>
        <w:t>1.</w:t>
      </w:r>
      <w:r>
        <w:rPr>
          <w:rFonts w:hint="eastAsia"/>
          <w:color w:val="auto"/>
          <w:lang w:val="en-US" w:eastAsia="zh-CN"/>
        </w:rPr>
        <w:t>答：风险评估是以了解被审计单位及其环境为过程，以识别财务报表层次和认定层次重大错报风险、评估重大错报发生的可能性和后果严重程度为目的所实施的审计程序。（3分）</w:t>
      </w:r>
    </w:p>
    <w:p>
      <w:pPr>
        <w:widowControl w:val="0"/>
        <w:numPr>
          <w:ilvl w:val="0"/>
          <w:numId w:val="0"/>
        </w:numPr>
        <w:ind w:firstLine="420" w:firstLineChars="200"/>
        <w:jc w:val="both"/>
        <w:rPr>
          <w:rFonts w:hint="default"/>
          <w:color w:val="auto"/>
          <w:lang w:val="en-US" w:eastAsia="zh-CN"/>
        </w:rPr>
      </w:pPr>
      <w:r>
        <w:rPr>
          <w:rFonts w:hint="eastAsia"/>
          <w:color w:val="auto"/>
          <w:lang w:val="en-US" w:eastAsia="zh-CN"/>
        </w:rPr>
        <w:t>风险评估程序包括：询问管理层和被审计单位内部其他人员、实施分析程序以及观察和检查。（2分）</w:t>
      </w:r>
    </w:p>
    <w:p>
      <w:pPr>
        <w:rPr>
          <w:rFonts w:ascii="宋体" w:hAnsi="宋体"/>
          <w:b/>
          <w:bCs w:val="0"/>
          <w:color w:val="auto"/>
          <w:szCs w:val="21"/>
        </w:rPr>
      </w:pPr>
      <w:bookmarkStart w:id="0" w:name="_GoBack"/>
      <w:bookmarkEnd w:id="0"/>
      <w:r>
        <w:rPr>
          <w:rFonts w:hint="eastAsia" w:ascii="宋体" w:hAnsi="宋体" w:eastAsia="宋体" w:cs="Times New Roman"/>
          <w:b/>
          <w:bCs w:val="0"/>
          <w:color w:val="auto"/>
          <w:szCs w:val="21"/>
        </w:rPr>
        <w:t>2.</w:t>
      </w:r>
      <w:r>
        <w:rPr>
          <w:rFonts w:hint="eastAsia" w:ascii="宋体" w:hAnsi="宋体"/>
          <w:b/>
          <w:bCs w:val="0"/>
          <w:color w:val="auto"/>
          <w:szCs w:val="21"/>
        </w:rPr>
        <w:t>（每小题2分，判断1分，理由1分）</w:t>
      </w:r>
    </w:p>
    <w:p>
      <w:pPr>
        <w:ind w:firstLine="420" w:firstLineChars="200"/>
        <w:rPr>
          <w:rFonts w:ascii="宋体" w:hAnsi="宋体"/>
          <w:color w:val="auto"/>
          <w:szCs w:val="21"/>
        </w:rPr>
      </w:pPr>
      <w:r>
        <w:rPr>
          <w:rFonts w:hint="eastAsia" w:ascii="宋体" w:hAnsi="宋体"/>
          <w:color w:val="auto"/>
          <w:szCs w:val="21"/>
        </w:rPr>
        <w:t>（1）银行询证函比较可靠。因为银行询证函通常是在注册会计师监督下寄给银行，然后银行直接回函给注册会计师所取得的证据；银行对账单则通常由银行寄给被审计单位，由被审计单位保管；</w:t>
      </w:r>
    </w:p>
    <w:p>
      <w:pPr>
        <w:ind w:firstLine="420" w:firstLineChars="200"/>
        <w:rPr>
          <w:rFonts w:ascii="宋体" w:hAns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）银行对账单比较可靠。因为银行对账单是由银行提供的，而发货单是企业自行填制的；</w:t>
      </w:r>
    </w:p>
    <w:p>
      <w:pPr>
        <w:ind w:firstLine="420" w:firstLineChars="200"/>
        <w:rPr>
          <w:rFonts w:ascii="宋体" w:hAns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）律师询证函回函比较可靠，因为该证据属于书面证据。</w:t>
      </w:r>
    </w:p>
    <w:p>
      <w:pPr>
        <w:tabs>
          <w:tab w:val="left" w:pos="1875"/>
        </w:tabs>
        <w:rPr>
          <w:rFonts w:hint="eastAsia" w:ascii="宋体" w:hAnsi="宋体" w:eastAsia="宋体" w:cs="宋体"/>
          <w:color w:val="auto"/>
          <w:sz w:val="21"/>
          <w:szCs w:val="21"/>
          <w:lang w:val="en-US" w:eastAsia="zh-CN"/>
        </w:rPr>
      </w:pPr>
      <w:r>
        <w:rPr>
          <w:rFonts w:hint="eastAsia" w:ascii="宋体" w:hAnsi="宋体" w:eastAsia="宋体" w:cs="Times New Roman"/>
          <w:b/>
          <w:color w:val="auto"/>
          <w:szCs w:val="21"/>
          <w:lang w:val="en-US" w:eastAsia="zh-CN"/>
        </w:rPr>
        <w:t>3、</w:t>
      </w:r>
      <w:r>
        <w:rPr>
          <w:rFonts w:hint="eastAsia" w:ascii="宋体" w:hAnsi="宋体" w:eastAsia="宋体" w:cs="宋体"/>
          <w:color w:val="auto"/>
          <w:sz w:val="21"/>
          <w:szCs w:val="21"/>
          <w:lang w:val="en-US" w:eastAsia="zh-CN"/>
        </w:rPr>
        <w:t xml:space="preserve"> 答： 期后事项是指财务报表日至审计报告日之间发生的事项，以及注册会计师在审计报告日后知悉的事实。（2分）</w:t>
      </w:r>
    </w:p>
    <w:p>
      <w:pPr>
        <w:widowControl w:val="0"/>
        <w:numPr>
          <w:ilvl w:val="0"/>
          <w:numId w:val="0"/>
        </w:numPr>
        <w:ind w:leftChars="0"/>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期后事项分为两类：1）是资产负债表日后调整事项，即对资产负债表日已经存在的情况提供了新的或进一步证据的事项。这类事项影响财务报表金额，需提请被审计单位管理层调整财务报表及与之相关的披露信息；（2分） 2）是资产负债表日后非调整事项，即表明资产负债表日后发生的情况的事项。这类事项虽不影响财务报表金额，但可能影响财务报表的正确理解，需提请被审计单位管理层在财务报表的附注中作适当披露。（2分）</w:t>
      </w:r>
    </w:p>
    <w:p>
      <w:pPr>
        <w:numPr>
          <w:ilvl w:val="0"/>
          <w:numId w:val="0"/>
        </w:numPr>
        <w:rPr>
          <w:rFonts w:hint="default"/>
          <w:color w:val="auto"/>
          <w:lang w:val="en-US" w:eastAsia="zh-CN"/>
        </w:rPr>
      </w:pPr>
    </w:p>
    <w:p>
      <w:pPr>
        <w:rPr>
          <w:rFonts w:hint="eastAsia" w:cs="宋体"/>
          <w:b/>
          <w:color w:val="auto"/>
          <w:szCs w:val="21"/>
        </w:rPr>
      </w:pPr>
      <w:r>
        <w:rPr>
          <w:rFonts w:hint="eastAsia" w:cs="宋体"/>
          <w:b/>
          <w:color w:val="auto"/>
          <w:szCs w:val="21"/>
        </w:rPr>
        <w:t>五、</w:t>
      </w:r>
      <w:r>
        <w:rPr>
          <w:rFonts w:hint="eastAsia" w:ascii="Calibri" w:hAnsi="Calibri" w:eastAsia="宋体" w:cs="宋体"/>
          <w:b/>
          <w:color w:val="auto"/>
          <w:sz w:val="24"/>
          <w:lang w:val="en-US" w:eastAsia="zh-CN"/>
        </w:rPr>
        <w:t>分析填空题（共10分，共1题）</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8"/>
        <w:gridCol w:w="486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noWrap w:val="0"/>
            <w:vAlign w:val="top"/>
          </w:tcPr>
          <w:p>
            <w:pPr>
              <w:rPr>
                <w:color w:val="auto"/>
              </w:rPr>
            </w:pPr>
            <w:r>
              <w:rPr>
                <w:rFonts w:hint="eastAsia"/>
                <w:color w:val="auto"/>
              </w:rPr>
              <w:t>会计报表认定</w:t>
            </w:r>
          </w:p>
        </w:tc>
        <w:tc>
          <w:tcPr>
            <w:tcW w:w="4860" w:type="dxa"/>
            <w:noWrap w:val="0"/>
            <w:vAlign w:val="top"/>
          </w:tcPr>
          <w:p>
            <w:pPr>
              <w:rPr>
                <w:color w:val="auto"/>
              </w:rPr>
            </w:pPr>
            <w:r>
              <w:rPr>
                <w:rFonts w:hint="eastAsia"/>
                <w:color w:val="auto"/>
              </w:rPr>
              <w:t>具体审计目标</w:t>
            </w:r>
          </w:p>
        </w:tc>
        <w:tc>
          <w:tcPr>
            <w:tcW w:w="1800" w:type="dxa"/>
            <w:noWrap w:val="0"/>
            <w:vAlign w:val="top"/>
          </w:tcPr>
          <w:p>
            <w:pPr>
              <w:rPr>
                <w:color w:val="auto"/>
              </w:rPr>
            </w:pPr>
            <w:r>
              <w:rPr>
                <w:rFonts w:hint="eastAsia"/>
                <w:color w:val="auto"/>
              </w:rPr>
              <w:t>审计程序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noWrap w:val="0"/>
            <w:vAlign w:val="top"/>
          </w:tcPr>
          <w:p>
            <w:pPr>
              <w:rPr>
                <w:rFonts w:hint="eastAsia"/>
                <w:color w:val="auto"/>
              </w:rPr>
            </w:pPr>
            <w:r>
              <w:rPr>
                <w:color w:val="auto"/>
              </w:rPr>
              <w:t>（4）</w:t>
            </w:r>
            <w:r>
              <w:rPr>
                <w:rFonts w:hint="eastAsia"/>
                <w:b/>
                <w:color w:val="auto"/>
              </w:rPr>
              <w:t>（1分）</w:t>
            </w:r>
          </w:p>
        </w:tc>
        <w:tc>
          <w:tcPr>
            <w:tcW w:w="4860" w:type="dxa"/>
            <w:noWrap w:val="0"/>
            <w:vAlign w:val="top"/>
          </w:tcPr>
          <w:p>
            <w:pPr>
              <w:rPr>
                <w:color w:val="auto"/>
              </w:rPr>
            </w:pPr>
            <w:r>
              <w:rPr>
                <w:rFonts w:hint="eastAsia"/>
                <w:color w:val="auto"/>
              </w:rPr>
              <w:t>公司对存货均拥有所有权</w:t>
            </w:r>
          </w:p>
        </w:tc>
        <w:tc>
          <w:tcPr>
            <w:tcW w:w="1800" w:type="dxa"/>
            <w:noWrap w:val="0"/>
            <w:vAlign w:val="top"/>
          </w:tcPr>
          <w:p>
            <w:pPr>
              <w:rPr>
                <w:color w:val="auto"/>
              </w:rPr>
            </w:pPr>
            <w:r>
              <w:rPr>
                <w:color w:val="auto"/>
              </w:rPr>
              <w:t>（9）</w:t>
            </w:r>
            <w:r>
              <w:rPr>
                <w:rFonts w:hint="eastAsia"/>
                <w:b/>
                <w:color w:val="auto"/>
              </w:rPr>
              <w:t>（1分）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noWrap w:val="0"/>
            <w:vAlign w:val="top"/>
          </w:tcPr>
          <w:p>
            <w:pPr>
              <w:rPr>
                <w:color w:val="auto"/>
              </w:rPr>
            </w:pPr>
            <w:r>
              <w:rPr>
                <w:color w:val="auto"/>
              </w:rPr>
              <w:t>（1）</w:t>
            </w:r>
            <w:r>
              <w:rPr>
                <w:rFonts w:hint="eastAsia"/>
                <w:b/>
                <w:color w:val="auto"/>
              </w:rPr>
              <w:t>（1分）</w:t>
            </w:r>
          </w:p>
        </w:tc>
        <w:tc>
          <w:tcPr>
            <w:tcW w:w="4860" w:type="dxa"/>
            <w:noWrap w:val="0"/>
            <w:vAlign w:val="top"/>
          </w:tcPr>
          <w:p>
            <w:pPr>
              <w:rPr>
                <w:color w:val="auto"/>
              </w:rPr>
            </w:pPr>
            <w:r>
              <w:rPr>
                <w:rFonts w:hint="eastAsia"/>
                <w:color w:val="auto"/>
              </w:rPr>
              <w:t>记录的存货数量包括了公司所有的在库存货</w:t>
            </w:r>
          </w:p>
        </w:tc>
        <w:tc>
          <w:tcPr>
            <w:tcW w:w="1800" w:type="dxa"/>
            <w:noWrap w:val="0"/>
            <w:vAlign w:val="top"/>
          </w:tcPr>
          <w:p>
            <w:pPr>
              <w:rPr>
                <w:color w:val="auto"/>
              </w:rPr>
            </w:pPr>
            <w:r>
              <w:rPr>
                <w:color w:val="auto"/>
              </w:rPr>
              <w:t>（8）</w:t>
            </w:r>
            <w:r>
              <w:rPr>
                <w:rFonts w:hint="eastAsia"/>
                <w:b/>
                <w:color w:val="auto"/>
              </w:rPr>
              <w:t>（1分）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noWrap w:val="0"/>
            <w:vAlign w:val="top"/>
          </w:tcPr>
          <w:p>
            <w:pPr>
              <w:rPr>
                <w:color w:val="auto"/>
              </w:rPr>
            </w:pPr>
            <w:r>
              <w:rPr>
                <w:color w:val="auto"/>
              </w:rPr>
              <w:t>（5）</w:t>
            </w:r>
            <w:r>
              <w:rPr>
                <w:rFonts w:hint="eastAsia"/>
                <w:b/>
                <w:color w:val="auto"/>
              </w:rPr>
              <w:t>（1分）</w:t>
            </w:r>
          </w:p>
        </w:tc>
        <w:tc>
          <w:tcPr>
            <w:tcW w:w="4860" w:type="dxa"/>
            <w:noWrap w:val="0"/>
            <w:vAlign w:val="top"/>
          </w:tcPr>
          <w:p>
            <w:pPr>
              <w:rPr>
                <w:color w:val="auto"/>
              </w:rPr>
            </w:pPr>
            <w:r>
              <w:rPr>
                <w:rFonts w:hint="eastAsia"/>
                <w:color w:val="auto"/>
              </w:rPr>
              <w:t>已按成本与可变现净值孰低法调整期末存货的价值</w:t>
            </w:r>
          </w:p>
        </w:tc>
        <w:tc>
          <w:tcPr>
            <w:tcW w:w="1800" w:type="dxa"/>
            <w:noWrap w:val="0"/>
            <w:vAlign w:val="top"/>
          </w:tcPr>
          <w:p>
            <w:pPr>
              <w:rPr>
                <w:color w:val="auto"/>
              </w:rPr>
            </w:pPr>
            <w:r>
              <w:rPr>
                <w:color w:val="auto"/>
              </w:rPr>
              <w:t>（6）</w:t>
            </w:r>
            <w:r>
              <w:rPr>
                <w:rFonts w:hint="eastAsia"/>
                <w:b/>
                <w:color w:val="auto"/>
              </w:rPr>
              <w:t>（1分）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noWrap w:val="0"/>
            <w:vAlign w:val="top"/>
          </w:tcPr>
          <w:p>
            <w:pPr>
              <w:rPr>
                <w:color w:val="auto"/>
              </w:rPr>
            </w:pPr>
            <w:r>
              <w:rPr>
                <w:color w:val="auto"/>
              </w:rPr>
              <w:t>（5）</w:t>
            </w:r>
            <w:r>
              <w:rPr>
                <w:rFonts w:hint="eastAsia"/>
                <w:b/>
                <w:color w:val="auto"/>
              </w:rPr>
              <w:t>（1分）</w:t>
            </w:r>
          </w:p>
        </w:tc>
        <w:tc>
          <w:tcPr>
            <w:tcW w:w="4860" w:type="dxa"/>
            <w:noWrap w:val="0"/>
            <w:vAlign w:val="top"/>
          </w:tcPr>
          <w:p>
            <w:pPr>
              <w:rPr>
                <w:color w:val="auto"/>
              </w:rPr>
            </w:pPr>
            <w:r>
              <w:rPr>
                <w:rFonts w:hint="eastAsia"/>
                <w:color w:val="auto"/>
              </w:rPr>
              <w:t>存货成本计算准确</w:t>
            </w:r>
          </w:p>
        </w:tc>
        <w:tc>
          <w:tcPr>
            <w:tcW w:w="1800" w:type="dxa"/>
            <w:noWrap w:val="0"/>
            <w:vAlign w:val="top"/>
          </w:tcPr>
          <w:p>
            <w:pPr>
              <w:rPr>
                <w:color w:val="auto"/>
              </w:rPr>
            </w:pPr>
            <w:r>
              <w:rPr>
                <w:color w:val="auto"/>
              </w:rPr>
              <w:t>（11）</w:t>
            </w:r>
            <w:r>
              <w:rPr>
                <w:rFonts w:hint="eastAsia"/>
                <w:b/>
                <w:color w:val="auto"/>
              </w:rPr>
              <w:t>（1分）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noWrap w:val="0"/>
            <w:vAlign w:val="top"/>
          </w:tcPr>
          <w:p>
            <w:pPr>
              <w:rPr>
                <w:color w:val="auto"/>
              </w:rPr>
            </w:pPr>
            <w:r>
              <w:rPr>
                <w:color w:val="auto"/>
              </w:rPr>
              <w:t>（3）</w:t>
            </w:r>
            <w:r>
              <w:rPr>
                <w:rFonts w:hint="eastAsia"/>
                <w:b/>
                <w:color w:val="auto"/>
              </w:rPr>
              <w:t>（1分）</w:t>
            </w:r>
          </w:p>
        </w:tc>
        <w:tc>
          <w:tcPr>
            <w:tcW w:w="4860" w:type="dxa"/>
            <w:noWrap w:val="0"/>
            <w:vAlign w:val="top"/>
          </w:tcPr>
          <w:p>
            <w:pPr>
              <w:rPr>
                <w:color w:val="auto"/>
              </w:rPr>
            </w:pPr>
            <w:r>
              <w:rPr>
                <w:rFonts w:hint="eastAsia"/>
                <w:color w:val="auto"/>
              </w:rPr>
              <w:t>存货的主要类别和计价基础已在会计报表恰当披露</w:t>
            </w:r>
          </w:p>
        </w:tc>
        <w:tc>
          <w:tcPr>
            <w:tcW w:w="1800" w:type="dxa"/>
            <w:noWrap w:val="0"/>
            <w:vAlign w:val="top"/>
          </w:tcPr>
          <w:p>
            <w:pPr>
              <w:rPr>
                <w:color w:val="auto"/>
              </w:rPr>
            </w:pPr>
            <w:r>
              <w:rPr>
                <w:color w:val="auto"/>
              </w:rPr>
              <w:t>（7）</w:t>
            </w:r>
            <w:r>
              <w:rPr>
                <w:rFonts w:hint="eastAsia"/>
                <w:b/>
                <w:color w:val="auto"/>
              </w:rPr>
              <w:t>（1分）</w:t>
            </w:r>
          </w:p>
        </w:tc>
      </w:tr>
    </w:tbl>
    <w:p>
      <w:pPr>
        <w:rPr>
          <w:rFonts w:hint="eastAsia" w:cs="宋体"/>
          <w:b/>
          <w:color w:val="auto"/>
          <w:szCs w:val="21"/>
        </w:rPr>
      </w:pPr>
    </w:p>
    <w:p>
      <w:pPr>
        <w:keepNext w:val="0"/>
        <w:keepLines w:val="0"/>
        <w:pageBreakBefore w:val="0"/>
        <w:widowControl w:val="0"/>
        <w:tabs>
          <w:tab w:val="left" w:pos="5670"/>
        </w:tabs>
        <w:kinsoku/>
        <w:wordWrap/>
        <w:overflowPunct/>
        <w:topLinePunct w:val="0"/>
        <w:autoSpaceDE/>
        <w:autoSpaceDN/>
        <w:bidi w:val="0"/>
        <w:adjustRightInd w:val="0"/>
        <w:snapToGrid w:val="0"/>
        <w:spacing w:line="276" w:lineRule="auto"/>
        <w:textAlignment w:val="auto"/>
        <w:rPr>
          <w:rFonts w:hint="eastAsia" w:ascii="宋体" w:hAnsi="宋体" w:eastAsia="宋体" w:cs="Times New Roman"/>
          <w:b/>
          <w:color w:val="auto"/>
          <w:szCs w:val="21"/>
          <w:lang w:val="en-US" w:eastAsia="zh-CN"/>
        </w:rPr>
      </w:pPr>
      <w:r>
        <w:rPr>
          <w:rFonts w:hint="eastAsia" w:cs="宋体"/>
          <w:b/>
          <w:color w:val="auto"/>
          <w:szCs w:val="21"/>
        </w:rPr>
        <w:t>六．</w:t>
      </w:r>
      <w:r>
        <w:rPr>
          <w:rFonts w:hint="eastAsia" w:cs="宋体"/>
          <w:b/>
          <w:color w:val="auto"/>
          <w:szCs w:val="21"/>
          <w:lang w:val="en-US" w:eastAsia="zh-CN"/>
        </w:rPr>
        <w:t>案例分析题</w:t>
      </w:r>
      <w:r>
        <w:rPr>
          <w:rFonts w:hint="eastAsia" w:cs="宋体"/>
          <w:b/>
          <w:color w:val="auto"/>
          <w:szCs w:val="21"/>
        </w:rPr>
        <w:t>（本大题共38分，其中第1题12分，第2题14分，第3题12分</w:t>
      </w:r>
      <w:r>
        <w:rPr>
          <w:rFonts w:hint="eastAsia" w:ascii="宋体" w:hAnsi="宋体" w:eastAsia="宋体" w:cs="Times New Roman"/>
          <w:b/>
          <w:color w:val="auto"/>
          <w:szCs w:val="21"/>
          <w:lang w:val="en-US" w:eastAsia="zh-CN"/>
        </w:rPr>
        <w:t>）</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default"/>
          <w:b w:val="0"/>
          <w:bCs w:val="0"/>
          <w:color w:val="auto"/>
          <w:lang w:val="en-US" w:eastAsia="zh-CN"/>
        </w:rPr>
      </w:pPr>
      <w:r>
        <w:rPr>
          <w:rFonts w:hint="eastAsia" w:ascii="Calibri" w:hAnsi="Calibri" w:eastAsia="宋体" w:cs="Times New Roman"/>
          <w:b w:val="0"/>
          <w:bCs w:val="0"/>
          <w:color w:val="auto"/>
          <w:sz w:val="21"/>
          <w:szCs w:val="21"/>
          <w:lang w:val="en-US" w:eastAsia="zh-CN"/>
        </w:rPr>
        <w:t xml:space="preserve">  1、</w:t>
      </w:r>
      <w:r>
        <w:rPr>
          <w:rFonts w:hint="default"/>
          <w:b w:val="0"/>
          <w:bCs w:val="0"/>
          <w:color w:val="auto"/>
          <w:lang w:val="en-US" w:eastAsia="zh-CN"/>
        </w:rPr>
        <w:t>（1）违反（1分）。A注册会计师的主要近亲属（父亲）在财务报表涵盖期间在被审计单位关联实体（乙公司）中拥有直接经济利益，将因自身利益对独立性产生非常严重的不利影响（1分）。</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default"/>
          <w:b w:val="0"/>
          <w:bCs w:val="0"/>
          <w:color w:val="auto"/>
          <w:lang w:val="en-US" w:eastAsia="zh-CN"/>
        </w:rPr>
      </w:pPr>
      <w:r>
        <w:rPr>
          <w:rFonts w:hint="default"/>
          <w:b w:val="0"/>
          <w:bCs w:val="0"/>
          <w:color w:val="auto"/>
          <w:lang w:val="en-US" w:eastAsia="zh-CN"/>
        </w:rPr>
        <w:t>（2）不违反（1分）。审计项目团队成员B注册会计师的主要近亲属（妻子）在甲银行（子公司丙公司）的职务对其参与审计的财务报表不构成重大影响，不会对独立性产生不利影响（1分）。</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default"/>
          <w:b w:val="0"/>
          <w:bCs w:val="0"/>
          <w:color w:val="auto"/>
          <w:lang w:val="en-US" w:eastAsia="zh-CN"/>
        </w:rPr>
      </w:pPr>
      <w:r>
        <w:rPr>
          <w:rFonts w:hint="default"/>
          <w:b w:val="0"/>
          <w:bCs w:val="0"/>
          <w:color w:val="auto"/>
          <w:lang w:val="en-US" w:eastAsia="zh-CN"/>
        </w:rPr>
        <w:t>（3）不违反（1分）。C注册会计师不是甲银行审计项目团队成员，其儿子与甲银行某支行负责人的儿子共同投资W公司不属于被禁止的商业关系，不会对独立性产生不利影响。（1分）</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default"/>
          <w:b w:val="0"/>
          <w:bCs w:val="0"/>
          <w:color w:val="auto"/>
          <w:lang w:val="en-US" w:eastAsia="zh-CN"/>
        </w:rPr>
      </w:pPr>
      <w:r>
        <w:rPr>
          <w:rFonts w:hint="default"/>
          <w:b w:val="0"/>
          <w:bCs w:val="0"/>
          <w:color w:val="auto"/>
          <w:lang w:val="en-US" w:eastAsia="zh-CN"/>
        </w:rPr>
        <w:t>（4）违反（1分）。前任高级合伙人不再担任该职务后，需要超过12个月才能加入属于公众利益实体的审计客户担任独立董事，将因密切关系或外在压力对独立性产生不利影响（1分）</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default"/>
          <w:b w:val="0"/>
          <w:bCs w:val="0"/>
          <w:color w:val="auto"/>
          <w:lang w:val="en-US" w:eastAsia="zh-CN"/>
        </w:rPr>
      </w:pPr>
      <w:r>
        <w:rPr>
          <w:rFonts w:hint="default"/>
          <w:b w:val="0"/>
          <w:bCs w:val="0"/>
          <w:color w:val="auto"/>
          <w:lang w:val="en-US" w:eastAsia="zh-CN"/>
        </w:rPr>
        <w:t>（5）违反（1分）。E注册会计师在2023年年度报告发布前加入甲银行担任财务总监，将因密切关系或外在压力对独立性产生不利影响（1分）。</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default"/>
          <w:b w:val="0"/>
          <w:bCs w:val="0"/>
          <w:color w:val="auto"/>
          <w:lang w:val="en-US" w:eastAsia="zh-CN"/>
        </w:rPr>
      </w:pPr>
      <w:r>
        <w:rPr>
          <w:rFonts w:hint="default"/>
          <w:b w:val="0"/>
          <w:bCs w:val="0"/>
          <w:color w:val="auto"/>
          <w:lang w:val="en-US" w:eastAsia="zh-CN"/>
        </w:rPr>
        <w:t>（6）违反（1分）。审计项目团队成员的主要近亲属不得在审计客户中拥有直接经济利益，将因自身利益对独立性产生严重不利影响（1分）</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default"/>
          <w:b w:val="0"/>
          <w:bCs w:val="0"/>
          <w:color w:val="auto"/>
          <w:lang w:val="en-US" w:eastAsia="zh-CN"/>
        </w:rPr>
      </w:pPr>
    </w:p>
    <w:p>
      <w:pPr>
        <w:spacing w:line="264" w:lineRule="auto"/>
        <w:rPr>
          <w:rFonts w:ascii="宋体" w:hAnsi="宋体" w:cs="宋体"/>
          <w:color w:val="auto"/>
          <w:szCs w:val="21"/>
        </w:rPr>
      </w:pPr>
      <w:r>
        <w:rPr>
          <w:rFonts w:hint="eastAsia" w:ascii="Calibri" w:hAnsi="Calibri" w:eastAsia="宋体" w:cs="Times New Roman"/>
          <w:b/>
          <w:bCs/>
          <w:color w:val="auto"/>
          <w:lang w:val="en-US" w:eastAsia="zh-CN"/>
        </w:rPr>
        <w:t>2、</w:t>
      </w:r>
      <w:r>
        <w:rPr>
          <w:rFonts w:hint="eastAsia" w:ascii="宋体" w:hAnsi="宋体"/>
          <w:color w:val="auto"/>
          <w:szCs w:val="21"/>
        </w:rPr>
        <w:t>【答案】</w:t>
      </w:r>
      <w:r>
        <w:rPr>
          <w:rFonts w:hint="eastAsia" w:ascii="宋体" w:hAnsi="宋体" w:cs="宋体"/>
          <w:color w:val="auto"/>
          <w:szCs w:val="21"/>
        </w:rPr>
        <w:t>（1）事项一应编制调整分录：</w:t>
      </w:r>
    </w:p>
    <w:p>
      <w:pPr>
        <w:spacing w:line="264" w:lineRule="auto"/>
        <w:ind w:firstLine="420" w:firstLineChars="200"/>
        <w:rPr>
          <w:rFonts w:ascii="宋体" w:hAnsi="宋体" w:cs="宋体"/>
          <w:color w:val="auto"/>
          <w:szCs w:val="21"/>
        </w:rPr>
      </w:pPr>
      <w:r>
        <w:rPr>
          <w:rFonts w:hint="eastAsia" w:ascii="宋体" w:hAnsi="宋体" w:cs="宋体"/>
          <w:color w:val="auto"/>
          <w:szCs w:val="21"/>
        </w:rPr>
        <w:t>借：管理费用               16875</w:t>
      </w:r>
    </w:p>
    <w:p>
      <w:pPr>
        <w:spacing w:line="264" w:lineRule="auto"/>
        <w:ind w:firstLine="630" w:firstLineChars="300"/>
        <w:rPr>
          <w:rFonts w:ascii="宋体" w:hAnsi="宋体" w:cs="宋体"/>
          <w:color w:val="auto"/>
          <w:szCs w:val="21"/>
        </w:rPr>
      </w:pPr>
      <w:r>
        <w:rPr>
          <w:rFonts w:hint="eastAsia" w:ascii="宋体" w:hAnsi="宋体" w:cs="宋体"/>
          <w:color w:val="auto"/>
          <w:szCs w:val="21"/>
        </w:rPr>
        <w:t xml:space="preserve">贷：累计折旧                  16875      </w:t>
      </w:r>
      <w:r>
        <w:rPr>
          <w:rFonts w:hint="eastAsia" w:ascii="宋体" w:hAnsi="宋体" w:cs="宋体"/>
          <w:color w:val="auto"/>
          <w:szCs w:val="21"/>
          <w:lang w:val="en-US" w:eastAsia="zh-CN"/>
        </w:rPr>
        <w:t xml:space="preserve">   </w:t>
      </w:r>
      <w:r>
        <w:rPr>
          <w:rFonts w:hint="eastAsia" w:ascii="宋体" w:hAnsi="宋体" w:cs="宋体"/>
          <w:color w:val="auto"/>
          <w:szCs w:val="21"/>
        </w:rPr>
        <w:t>（</w:t>
      </w:r>
      <w:r>
        <w:rPr>
          <w:rFonts w:hint="eastAsia" w:ascii="宋体" w:hAnsi="宋体" w:cs="宋体"/>
          <w:color w:val="auto"/>
          <w:szCs w:val="21"/>
          <w:lang w:val="en-US" w:eastAsia="zh-CN"/>
        </w:rPr>
        <w:t>2</w:t>
      </w:r>
      <w:r>
        <w:rPr>
          <w:rFonts w:hint="eastAsia" w:ascii="宋体" w:hAnsi="宋体" w:cs="宋体"/>
          <w:color w:val="auto"/>
          <w:szCs w:val="21"/>
        </w:rPr>
        <w:t xml:space="preserve">分） </w:t>
      </w:r>
    </w:p>
    <w:p>
      <w:pPr>
        <w:spacing w:line="264" w:lineRule="auto"/>
        <w:ind w:firstLine="420" w:firstLineChars="200"/>
        <w:rPr>
          <w:rFonts w:ascii="宋体" w:hAnsi="宋体" w:cs="宋体"/>
          <w:color w:val="auto"/>
          <w:szCs w:val="21"/>
        </w:rPr>
      </w:pPr>
      <w:r>
        <w:rPr>
          <w:rFonts w:hint="eastAsia" w:ascii="宋体" w:hAnsi="宋体" w:cs="宋体"/>
          <w:color w:val="auto"/>
          <w:szCs w:val="21"/>
        </w:rPr>
        <w:t>事项二应编制调整分录：</w:t>
      </w:r>
    </w:p>
    <w:p>
      <w:pPr>
        <w:spacing w:line="264" w:lineRule="auto"/>
        <w:ind w:firstLine="420" w:firstLineChars="200"/>
        <w:rPr>
          <w:rFonts w:ascii="宋体" w:hAnsi="宋体" w:cs="宋体"/>
          <w:color w:val="auto"/>
          <w:szCs w:val="21"/>
        </w:rPr>
      </w:pPr>
      <w:r>
        <w:rPr>
          <w:rFonts w:hint="eastAsia" w:ascii="宋体" w:hAnsi="宋体" w:cs="宋体"/>
          <w:color w:val="auto"/>
          <w:szCs w:val="21"/>
        </w:rPr>
        <w:t>借：预付账款                1200000</w:t>
      </w:r>
    </w:p>
    <w:p>
      <w:pPr>
        <w:spacing w:line="264" w:lineRule="auto"/>
        <w:ind w:firstLine="630" w:firstLineChars="300"/>
        <w:rPr>
          <w:rFonts w:ascii="宋体" w:hAnsi="宋体" w:cs="宋体"/>
          <w:color w:val="auto"/>
          <w:szCs w:val="21"/>
        </w:rPr>
      </w:pPr>
      <w:r>
        <w:rPr>
          <w:rFonts w:hint="eastAsia" w:ascii="宋体" w:hAnsi="宋体" w:cs="宋体"/>
          <w:color w:val="auto"/>
          <w:szCs w:val="21"/>
        </w:rPr>
        <w:t xml:space="preserve">贷：销售费用                     1200000 </w:t>
      </w:r>
      <w:r>
        <w:rPr>
          <w:rFonts w:hint="eastAsia" w:ascii="宋体" w:hAnsi="宋体" w:cs="宋体"/>
          <w:color w:val="auto"/>
          <w:szCs w:val="21"/>
          <w:lang w:val="en-US" w:eastAsia="zh-CN"/>
        </w:rPr>
        <w:t xml:space="preserve">   </w:t>
      </w:r>
      <w:r>
        <w:rPr>
          <w:rFonts w:hint="eastAsia" w:ascii="宋体" w:hAnsi="宋体" w:cs="宋体"/>
          <w:color w:val="auto"/>
          <w:szCs w:val="21"/>
        </w:rPr>
        <w:t>（</w:t>
      </w:r>
      <w:r>
        <w:rPr>
          <w:rFonts w:hint="eastAsia" w:ascii="宋体" w:hAnsi="宋体" w:cs="宋体"/>
          <w:color w:val="auto"/>
          <w:szCs w:val="21"/>
          <w:lang w:val="en-US" w:eastAsia="zh-CN"/>
        </w:rPr>
        <w:t>2</w:t>
      </w:r>
      <w:r>
        <w:rPr>
          <w:rFonts w:hint="eastAsia" w:ascii="宋体" w:hAnsi="宋体" w:cs="宋体"/>
          <w:color w:val="auto"/>
          <w:szCs w:val="21"/>
        </w:rPr>
        <w:t>分）</w:t>
      </w:r>
    </w:p>
    <w:p>
      <w:pPr>
        <w:spacing w:line="264" w:lineRule="auto"/>
        <w:ind w:firstLine="420" w:firstLineChars="200"/>
        <w:rPr>
          <w:rFonts w:ascii="宋体" w:hAnsi="宋体" w:cs="宋体"/>
          <w:color w:val="auto"/>
          <w:szCs w:val="21"/>
        </w:rPr>
      </w:pPr>
      <w:r>
        <w:rPr>
          <w:rFonts w:hint="eastAsia" w:ascii="宋体" w:hAnsi="宋体" w:cs="宋体"/>
          <w:color w:val="auto"/>
          <w:szCs w:val="21"/>
        </w:rPr>
        <w:t>事项三属于审计范围受限。                       （1分）</w:t>
      </w:r>
    </w:p>
    <w:p>
      <w:pPr>
        <w:spacing w:line="264" w:lineRule="auto"/>
        <w:ind w:firstLine="420" w:firstLineChars="200"/>
        <w:rPr>
          <w:rFonts w:ascii="宋体" w:hAnsi="宋体" w:cs="宋体"/>
          <w:color w:val="auto"/>
          <w:szCs w:val="21"/>
        </w:rPr>
      </w:pPr>
      <w:r>
        <w:rPr>
          <w:rFonts w:hint="eastAsia" w:ascii="宋体" w:hAnsi="宋体" w:cs="宋体"/>
          <w:color w:val="auto"/>
          <w:szCs w:val="21"/>
        </w:rPr>
        <w:t>（2）针对事项一，错报远远小于重要性水平，考虑出具无保留意见；</w:t>
      </w:r>
      <w:r>
        <w:rPr>
          <w:rFonts w:hint="eastAsia" w:ascii="宋体" w:hAnsi="宋体" w:cs="宋体"/>
          <w:color w:val="auto"/>
          <w:szCs w:val="21"/>
          <w:lang w:val="en-US" w:eastAsia="zh-CN"/>
        </w:rPr>
        <w:t xml:space="preserve"> </w:t>
      </w:r>
      <w:r>
        <w:rPr>
          <w:rFonts w:hint="eastAsia" w:ascii="宋体" w:hAnsi="宋体" w:cs="宋体"/>
          <w:color w:val="auto"/>
          <w:szCs w:val="21"/>
        </w:rPr>
        <w:t>（</w:t>
      </w:r>
      <w:r>
        <w:rPr>
          <w:rFonts w:hint="eastAsia" w:ascii="宋体" w:hAnsi="宋体" w:cs="宋体"/>
          <w:color w:val="auto"/>
          <w:szCs w:val="21"/>
          <w:lang w:val="en-US" w:eastAsia="zh-CN"/>
        </w:rPr>
        <w:t>3</w:t>
      </w:r>
      <w:r>
        <w:rPr>
          <w:rFonts w:hint="eastAsia" w:ascii="宋体" w:hAnsi="宋体" w:cs="宋体"/>
          <w:color w:val="auto"/>
          <w:szCs w:val="21"/>
        </w:rPr>
        <w:t>分）</w:t>
      </w:r>
    </w:p>
    <w:p>
      <w:pPr>
        <w:spacing w:line="264" w:lineRule="auto"/>
        <w:ind w:firstLine="420" w:firstLineChars="200"/>
        <w:rPr>
          <w:rFonts w:ascii="宋体" w:hAnsi="宋体" w:cs="宋体"/>
          <w:color w:val="auto"/>
          <w:szCs w:val="21"/>
        </w:rPr>
      </w:pPr>
      <w:r>
        <w:rPr>
          <w:rFonts w:hint="eastAsia" w:ascii="宋体" w:hAnsi="宋体" w:cs="宋体"/>
          <w:color w:val="auto"/>
          <w:szCs w:val="21"/>
        </w:rPr>
        <w:t>针对事项二，错报超出重要性水平</w:t>
      </w:r>
      <w:r>
        <w:rPr>
          <w:rFonts w:hint="eastAsia" w:ascii="宋体" w:hAnsi="宋体" w:cs="宋体"/>
          <w:color w:val="auto"/>
          <w:szCs w:val="21"/>
          <w:lang w:val="en-US" w:eastAsia="zh-CN"/>
        </w:rPr>
        <w:t>但影响不广泛</w:t>
      </w:r>
      <w:r>
        <w:rPr>
          <w:rFonts w:hint="eastAsia" w:ascii="宋体" w:hAnsi="宋体" w:cs="宋体"/>
          <w:color w:val="auto"/>
          <w:szCs w:val="21"/>
        </w:rPr>
        <w:t>考</w:t>
      </w:r>
      <w:r>
        <w:rPr>
          <w:rFonts w:hint="eastAsia" w:ascii="宋体" w:hAnsi="宋体" w:cs="宋体"/>
          <w:color w:val="auto"/>
          <w:szCs w:val="21"/>
          <w:lang w:eastAsia="zh-CN"/>
        </w:rPr>
        <w:t>，</w:t>
      </w:r>
      <w:r>
        <w:rPr>
          <w:rFonts w:hint="eastAsia" w:ascii="宋体" w:hAnsi="宋体" w:cs="宋体"/>
          <w:color w:val="auto"/>
          <w:szCs w:val="21"/>
        </w:rPr>
        <w:t>虑出具保留意见</w:t>
      </w:r>
      <w:r>
        <w:rPr>
          <w:rFonts w:ascii="宋体" w:hAnsi="宋体" w:cs="宋体"/>
          <w:color w:val="auto"/>
          <w:szCs w:val="21"/>
        </w:rPr>
        <w:t xml:space="preserve">  </w:t>
      </w:r>
      <w:r>
        <w:rPr>
          <w:rFonts w:hint="eastAsia" w:ascii="宋体" w:hAnsi="宋体" w:cs="宋体"/>
          <w:color w:val="auto"/>
          <w:szCs w:val="21"/>
        </w:rPr>
        <w:t>（</w:t>
      </w:r>
      <w:r>
        <w:rPr>
          <w:rFonts w:hint="eastAsia" w:ascii="宋体" w:hAnsi="宋体" w:cs="宋体"/>
          <w:color w:val="auto"/>
          <w:szCs w:val="21"/>
          <w:lang w:val="en-US" w:eastAsia="zh-CN"/>
        </w:rPr>
        <w:t>3</w:t>
      </w:r>
      <w:r>
        <w:rPr>
          <w:rFonts w:hint="eastAsia" w:ascii="宋体" w:hAnsi="宋体" w:cs="宋体"/>
          <w:color w:val="auto"/>
          <w:szCs w:val="21"/>
        </w:rPr>
        <w:t>分）</w:t>
      </w:r>
    </w:p>
    <w:p>
      <w:pPr>
        <w:spacing w:line="264" w:lineRule="auto"/>
        <w:ind w:firstLine="420" w:firstLineChars="200"/>
        <w:rPr>
          <w:rFonts w:hint="eastAsia" w:ascii="宋体" w:hAnsi="宋体" w:cs="宋体"/>
          <w:color w:val="auto"/>
          <w:szCs w:val="21"/>
        </w:rPr>
      </w:pPr>
      <w:r>
        <w:rPr>
          <w:rFonts w:hint="eastAsia" w:ascii="宋体" w:hAnsi="宋体" w:cs="宋体"/>
          <w:color w:val="auto"/>
          <w:szCs w:val="21"/>
        </w:rPr>
        <w:t>针对事项三，审计范围受限</w:t>
      </w:r>
      <w:r>
        <w:rPr>
          <w:rFonts w:hint="eastAsia" w:ascii="宋体" w:hAnsi="宋体" w:cs="宋体"/>
          <w:color w:val="auto"/>
          <w:szCs w:val="21"/>
          <w:lang w:val="en-US" w:eastAsia="zh-CN"/>
        </w:rPr>
        <w:t>金额超过重要性水平，</w:t>
      </w:r>
      <w:r>
        <w:rPr>
          <w:rFonts w:hint="eastAsia" w:ascii="宋体" w:hAnsi="宋体" w:cs="宋体"/>
          <w:color w:val="auto"/>
          <w:szCs w:val="21"/>
        </w:rPr>
        <w:t>影响</w:t>
      </w:r>
      <w:r>
        <w:rPr>
          <w:rFonts w:hint="eastAsia" w:ascii="宋体" w:hAnsi="宋体" w:cs="宋体"/>
          <w:color w:val="auto"/>
          <w:szCs w:val="21"/>
          <w:lang w:val="en-US" w:eastAsia="zh-CN"/>
        </w:rPr>
        <w:t>重大</w:t>
      </w:r>
      <w:r>
        <w:rPr>
          <w:rFonts w:hint="eastAsia" w:ascii="宋体" w:hAnsi="宋体" w:cs="宋体"/>
          <w:color w:val="auto"/>
          <w:szCs w:val="21"/>
        </w:rPr>
        <w:t>，</w:t>
      </w:r>
      <w:r>
        <w:rPr>
          <w:rFonts w:hint="eastAsia" w:ascii="宋体" w:hAnsi="宋体" w:cs="宋体"/>
          <w:color w:val="auto"/>
          <w:szCs w:val="21"/>
          <w:lang w:val="en-US" w:eastAsia="zh-CN"/>
        </w:rPr>
        <w:t>但并不广泛，</w:t>
      </w:r>
      <w:r>
        <w:rPr>
          <w:rFonts w:hint="eastAsia" w:ascii="宋体" w:hAnsi="宋体" w:cs="宋体"/>
          <w:color w:val="auto"/>
          <w:szCs w:val="21"/>
        </w:rPr>
        <w:t xml:space="preserve">考虑出具保留意见。       </w:t>
      </w:r>
      <w:r>
        <w:rPr>
          <w:rFonts w:ascii="宋体" w:hAnsi="宋体" w:cs="宋体"/>
          <w:color w:val="auto"/>
          <w:szCs w:val="21"/>
        </w:rPr>
        <w:t xml:space="preserve"> </w:t>
      </w:r>
      <w:r>
        <w:rPr>
          <w:rFonts w:hint="eastAsia" w:ascii="宋体" w:hAnsi="宋体" w:cs="宋体"/>
          <w:color w:val="auto"/>
          <w:szCs w:val="21"/>
          <w:lang w:val="en-US" w:eastAsia="zh-CN"/>
        </w:rPr>
        <w:t xml:space="preserve">  </w:t>
      </w:r>
      <w:r>
        <w:rPr>
          <w:rFonts w:hint="eastAsia" w:ascii="宋体" w:hAnsi="宋体" w:cs="宋体"/>
          <w:color w:val="auto"/>
          <w:szCs w:val="21"/>
        </w:rPr>
        <w:t>（</w:t>
      </w:r>
      <w:r>
        <w:rPr>
          <w:rFonts w:hint="eastAsia" w:ascii="宋体" w:hAnsi="宋体" w:cs="宋体"/>
          <w:color w:val="auto"/>
          <w:szCs w:val="21"/>
          <w:lang w:val="en-US" w:eastAsia="zh-CN"/>
        </w:rPr>
        <w:t>3</w:t>
      </w:r>
      <w:r>
        <w:rPr>
          <w:rFonts w:hint="eastAsia" w:ascii="宋体" w:hAnsi="宋体" w:cs="宋体"/>
          <w:color w:val="auto"/>
          <w:szCs w:val="21"/>
        </w:rPr>
        <w:t>分）</w:t>
      </w:r>
    </w:p>
    <w:p>
      <w:pPr>
        <w:spacing w:line="264" w:lineRule="auto"/>
        <w:ind w:firstLine="420" w:firstLineChars="200"/>
        <w:rPr>
          <w:rFonts w:hint="eastAsia" w:ascii="宋体" w:hAnsi="宋体" w:cs="宋体"/>
          <w:color w:val="auto"/>
          <w:szCs w:val="21"/>
        </w:rPr>
      </w:pPr>
    </w:p>
    <w:p>
      <w:pPr>
        <w:spacing w:line="264" w:lineRule="auto"/>
        <w:ind w:firstLine="420" w:firstLineChars="200"/>
        <w:rPr>
          <w:rFonts w:hint="eastAsia" w:ascii="宋体" w:hAnsi="宋体" w:cs="宋体"/>
          <w:color w:val="auto"/>
          <w:szCs w:val="21"/>
        </w:rPr>
      </w:pPr>
      <w:r>
        <w:rPr>
          <w:rFonts w:hint="eastAsia" w:ascii="宋体" w:hAnsi="宋体" w:cs="宋体"/>
          <w:color w:val="auto"/>
          <w:szCs w:val="21"/>
          <w:lang w:val="en-US" w:eastAsia="zh-CN"/>
        </w:rPr>
        <w:t>3、</w:t>
      </w:r>
      <w:r>
        <w:rPr>
          <w:rFonts w:hint="eastAsia" w:ascii="宋体" w:hAnsi="宋体" w:cs="宋体"/>
          <w:color w:val="auto"/>
          <w:szCs w:val="21"/>
        </w:rPr>
        <w:t>（1）不恰当。注册会计师应当对函证的全过程保持控制，由被审计单位的快递员寄发询 证函很容易被拦截。/注册会计师应当独立寄发询证函。</w:t>
      </w:r>
    </w:p>
    <w:p>
      <w:pPr>
        <w:spacing w:line="264" w:lineRule="auto"/>
        <w:ind w:firstLine="420" w:firstLineChars="200"/>
        <w:rPr>
          <w:rFonts w:hint="eastAsia" w:ascii="宋体" w:hAnsi="宋体" w:cs="宋体"/>
          <w:color w:val="auto"/>
          <w:szCs w:val="21"/>
        </w:rPr>
      </w:pPr>
      <w:r>
        <w:rPr>
          <w:rFonts w:hint="eastAsia" w:ascii="宋体" w:hAnsi="宋体" w:cs="宋体"/>
          <w:color w:val="auto"/>
          <w:szCs w:val="21"/>
        </w:rPr>
        <w:t>（2）恰当。</w:t>
      </w:r>
    </w:p>
    <w:p>
      <w:pPr>
        <w:spacing w:line="264" w:lineRule="auto"/>
        <w:ind w:firstLine="420" w:firstLineChars="200"/>
        <w:rPr>
          <w:rFonts w:hint="eastAsia" w:ascii="宋体" w:hAnsi="宋体" w:cs="宋体"/>
          <w:color w:val="auto"/>
          <w:szCs w:val="21"/>
        </w:rPr>
      </w:pPr>
      <w:r>
        <w:rPr>
          <w:rFonts w:hint="eastAsia" w:ascii="宋体" w:hAnsi="宋体" w:cs="宋体"/>
          <w:color w:val="auto"/>
          <w:szCs w:val="21"/>
        </w:rPr>
        <w:t>（3）不恰当。选取特定项目的方法不能以样本的测试结果推断至总体。</w:t>
      </w:r>
    </w:p>
    <w:p>
      <w:pPr>
        <w:spacing w:line="264" w:lineRule="auto"/>
        <w:ind w:firstLine="420" w:firstLineChars="200"/>
        <w:rPr>
          <w:rFonts w:hint="eastAsia" w:ascii="宋体" w:hAnsi="宋体" w:cs="宋体"/>
          <w:color w:val="auto"/>
          <w:szCs w:val="21"/>
        </w:rPr>
      </w:pPr>
      <w:r>
        <w:rPr>
          <w:rFonts w:hint="eastAsia" w:ascii="宋体" w:hAnsi="宋体" w:cs="宋体"/>
          <w:color w:val="auto"/>
          <w:szCs w:val="21"/>
        </w:rPr>
        <w:t>（4）不恰当。办公地址清单是被审计单位提供的，注册会计师没有验证，直接拍照用作 审计证据不足够，应当实施进一步审计程序，比如实地到被询证者办公地点查看。</w:t>
      </w:r>
    </w:p>
    <w:p>
      <w:pPr>
        <w:spacing w:line="264" w:lineRule="auto"/>
        <w:ind w:firstLine="420" w:firstLineChars="200"/>
        <w:rPr>
          <w:rFonts w:hint="eastAsia" w:ascii="宋体" w:hAnsi="宋体" w:cs="宋体"/>
          <w:color w:val="auto"/>
          <w:szCs w:val="21"/>
        </w:rPr>
      </w:pPr>
      <w:r>
        <w:rPr>
          <w:rFonts w:hint="eastAsia" w:ascii="宋体" w:hAnsi="宋体" w:cs="宋体"/>
          <w:color w:val="auto"/>
          <w:szCs w:val="21"/>
        </w:rPr>
        <w:t>（5）不恰当。询证函并非催收应收账款之用。/应纳入审计工作底稿。</w:t>
      </w:r>
    </w:p>
    <w:p>
      <w:pPr>
        <w:spacing w:line="264" w:lineRule="auto"/>
        <w:ind w:firstLine="420" w:firstLineChars="200"/>
        <w:rPr>
          <w:rFonts w:hint="default" w:ascii="宋体" w:hAnsi="宋体" w:eastAsia="宋体"/>
          <w:color w:val="auto"/>
          <w:sz w:val="24"/>
          <w:lang w:val="en-US" w:eastAsia="zh-CN"/>
        </w:rPr>
      </w:pPr>
      <w:r>
        <w:rPr>
          <w:rFonts w:hint="eastAsia" w:ascii="宋体" w:hAnsi="宋体" w:cs="宋体"/>
          <w:color w:val="auto"/>
          <w:szCs w:val="21"/>
        </w:rPr>
        <w:t>（6）不恰当。注册会计师应对2023年11月30日和12月31日之间应收账款的变动情况实施进一步审计程序/实质性程序/将实质性程序和控制测试结合使用。</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1"/>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pStyle w:val="4"/>
        <w:spacing w:before="0" w:beforeAutospacing="0" w:after="0" w:afterAutospacing="0" w:line="160" w:lineRule="exact"/>
        <w:rPr>
          <w:rFonts w:ascii="华文细黑" w:hAnsi="华文细黑" w:eastAsia="华文细黑"/>
          <w:color w:val="auto"/>
          <w:kern w:val="2"/>
        </w:rPr>
      </w:pPr>
    </w:p>
    <w:p>
      <w:pPr>
        <w:numPr>
          <w:numId w:val="0"/>
        </w:numPr>
        <w:ind w:leftChars="0"/>
        <w:rPr>
          <w:rFonts w:hint="eastAsia" w:ascii="Calibri" w:hAnsi="Calibri" w:eastAsia="宋体" w:cs="Times New Roman"/>
          <w:color w:val="auto"/>
          <w:lang w:val="en-US" w:eastAsia="zh-CN"/>
        </w:rPr>
      </w:pPr>
    </w:p>
    <w:p>
      <w:pPr>
        <w:widowControl w:val="0"/>
        <w:numPr>
          <w:ilvl w:val="0"/>
          <w:numId w:val="0"/>
        </w:numPr>
        <w:ind w:leftChars="0"/>
        <w:jc w:val="both"/>
        <w:rPr>
          <w:rFonts w:hint="eastAsia"/>
          <w:color w:val="auto"/>
          <w:sz w:val="22"/>
          <w:szCs w:val="22"/>
          <w:lang w:val="en-US" w:eastAsia="zh-CN"/>
        </w:rPr>
      </w:pPr>
      <w:r>
        <w:rPr>
          <w:rFonts w:hint="eastAsia"/>
          <w:color w:val="auto"/>
          <w:sz w:val="22"/>
          <w:szCs w:val="22"/>
          <w:lang w:val="en-US" w:eastAsia="zh-CN"/>
        </w:rPr>
        <w:t xml:space="preserve"> </w:t>
      </w:r>
    </w:p>
    <w:p>
      <w:pPr>
        <w:widowControl w:val="0"/>
        <w:numPr>
          <w:ilvl w:val="0"/>
          <w:numId w:val="0"/>
        </w:numPr>
        <w:jc w:val="both"/>
        <w:rPr>
          <w:rFonts w:hint="default"/>
          <w:color w:val="auto"/>
          <w:lang w:val="en-US" w:eastAsia="zh-CN"/>
        </w:rPr>
      </w:pPr>
    </w:p>
    <w:p>
      <w:pPr>
        <w:widowControl w:val="0"/>
        <w:numPr>
          <w:ilvl w:val="0"/>
          <w:numId w:val="0"/>
        </w:numPr>
        <w:jc w:val="both"/>
        <w:rPr>
          <w:rFonts w:hint="default"/>
          <w:color w:val="auto"/>
          <w:lang w:val="en-US" w:eastAsia="zh-CN"/>
        </w:rPr>
      </w:pPr>
    </w:p>
    <w:p>
      <w:pPr>
        <w:widowControl w:val="0"/>
        <w:numPr>
          <w:ilvl w:val="0"/>
          <w:numId w:val="0"/>
        </w:numPr>
        <w:jc w:val="both"/>
        <w:rPr>
          <w:rFonts w:hint="default"/>
          <w:color w:val="auto"/>
          <w:lang w:val="en-US" w:eastAsia="zh-CN"/>
        </w:rPr>
      </w:pPr>
    </w:p>
    <w:p>
      <w:pPr>
        <w:widowControl w:val="0"/>
        <w:numPr>
          <w:ilvl w:val="0"/>
          <w:numId w:val="0"/>
        </w:numPr>
        <w:jc w:val="both"/>
        <w:rPr>
          <w:rFonts w:hint="default" w:ascii="Calibri" w:hAnsi="Calibri" w:eastAsia="宋体" w:cs="Times New Roman"/>
          <w:color w:val="auto"/>
          <w:lang w:val="en-US" w:eastAsia="zh-CN"/>
        </w:rPr>
      </w:pPr>
    </w:p>
    <w:p>
      <w:pPr>
        <w:widowControl w:val="0"/>
        <w:numPr>
          <w:ilvl w:val="0"/>
          <w:numId w:val="0"/>
        </w:numPr>
        <w:jc w:val="both"/>
        <w:rPr>
          <w:rFonts w:hint="eastAsia" w:ascii="Calibri" w:hAnsi="Calibri" w:eastAsia="宋体" w:cs="Times New Roman"/>
          <w:color w:val="auto"/>
          <w:lang w:val="en-US" w:eastAsia="zh-CN"/>
        </w:rPr>
      </w:pPr>
    </w:p>
    <w:p>
      <w:pPr>
        <w:widowControl w:val="0"/>
        <w:numPr>
          <w:ilvl w:val="0"/>
          <w:numId w:val="0"/>
        </w:numPr>
        <w:jc w:val="both"/>
        <w:rPr>
          <w:rFonts w:hint="default" w:ascii="Calibri" w:hAnsi="Calibri" w:eastAsia="宋体" w:cs="Times New Roman"/>
          <w:color w:val="auto"/>
          <w:lang w:val="en-US" w:eastAsia="zh-CN"/>
        </w:rPr>
      </w:pPr>
    </w:p>
    <w:p>
      <w:pPr>
        <w:numPr>
          <w:ilvl w:val="0"/>
          <w:numId w:val="0"/>
        </w:numPr>
        <w:rPr>
          <w:rFonts w:hint="default"/>
          <w:color w:val="auto"/>
          <w:lang w:val="en-US" w:eastAsia="zh-CN"/>
        </w:rPr>
      </w:pPr>
    </w:p>
    <w:p>
      <w:pPr>
        <w:ind w:firstLine="210" w:firstLineChars="100"/>
        <w:rPr>
          <w:rFonts w:hint="eastAsia"/>
          <w:color w:val="auto"/>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细黑">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BBB7D0"/>
    <w:multiLevelType w:val="singleLevel"/>
    <w:tmpl w:val="D7BBB7D0"/>
    <w:lvl w:ilvl="0" w:tentative="0">
      <w:start w:val="1"/>
      <w:numFmt w:val="decimal"/>
      <w:suff w:val="space"/>
      <w:lvlText w:val="%1、"/>
      <w:lvlJc w:val="left"/>
    </w:lvl>
  </w:abstractNum>
  <w:abstractNum w:abstractNumId="1">
    <w:nsid w:val="0AA10B46"/>
    <w:multiLevelType w:val="singleLevel"/>
    <w:tmpl w:val="0AA10B46"/>
    <w:lvl w:ilvl="0" w:tentative="0">
      <w:start w:val="1"/>
      <w:numFmt w:val="decimal"/>
      <w:suff w:val="nothing"/>
      <w:lvlText w:val="（%1）"/>
      <w:lvlJc w:val="left"/>
    </w:lvl>
  </w:abstractNum>
  <w:abstractNum w:abstractNumId="2">
    <w:nsid w:val="1E85DF8D"/>
    <w:multiLevelType w:val="singleLevel"/>
    <w:tmpl w:val="1E85DF8D"/>
    <w:lvl w:ilvl="0" w:tentative="0">
      <w:start w:val="2"/>
      <w:numFmt w:val="chineseCounting"/>
      <w:suff w:val="nothing"/>
      <w:lvlText w:val="%1、"/>
      <w:lvlJc w:val="left"/>
      <w:rPr>
        <w:rFonts w:hint="eastAsia"/>
      </w:rPr>
    </w:lvl>
  </w:abstractNum>
  <w:abstractNum w:abstractNumId="3">
    <w:nsid w:val="43F64A96"/>
    <w:multiLevelType w:val="singleLevel"/>
    <w:tmpl w:val="43F64A96"/>
    <w:lvl w:ilvl="0" w:tentative="0">
      <w:start w:val="5"/>
      <w:numFmt w:val="chineseCounting"/>
      <w:suff w:val="nothing"/>
      <w:lvlText w:val="%1、"/>
      <w:lvlJc w:val="left"/>
      <w:rPr>
        <w:rFonts w:hint="eastAsia"/>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yZDFlZTlkMmJiYzc4ZjcxNjA2MDI3ZjU4NGZhYmYifQ=="/>
  </w:docVars>
  <w:rsids>
    <w:rsidRoot w:val="00000000"/>
    <w:rsid w:val="161D45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widowControl/>
      <w:spacing w:before="100" w:beforeAutospacing="1" w:after="100" w:afterAutospacing="1"/>
      <w:jc w:val="left"/>
    </w:pPr>
    <w:rPr>
      <w:rFonts w:hint="eastAsia" w:ascii="宋体" w:hAnsi="宋体"/>
      <w:kern w:val="0"/>
      <w:sz w:val="24"/>
    </w:rPr>
  </w:style>
  <w:style w:type="character" w:styleId="7">
    <w:name w:val="page number"/>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2024-07-27T07:43:36Z</dcterms:created>
  <dc:creator>liche</dc:creator>
  <cp:lastModifiedBy>敖艳</cp:lastModifiedBy>
  <dcterms:modified xsi:type="dcterms:W3CDTF">2024-07-27T07:51:51Z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813939F9DF2C4F439B139C38663ED7EC_12</vt:lpwstr>
  </property>
</Properties>
</file>