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审计学期末考试试卷（D卷）</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908"/>
        <w:gridCol w:w="903"/>
        <w:gridCol w:w="903"/>
        <w:gridCol w:w="905"/>
        <w:gridCol w:w="1065"/>
        <w:gridCol w:w="1099"/>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533"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53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2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645" w:type="pct"/>
            <w:noWrap w:val="0"/>
            <w:vAlign w:val="center"/>
          </w:tcPr>
          <w:p>
            <w:pPr>
              <w:spacing w:before="124" w:beforeLines="40" w:after="124" w:afterLines="40"/>
              <w:ind w:left="-107" w:leftChars="-51" w:right="-82" w:rightChars="-39"/>
              <w:jc w:val="center"/>
              <w:rPr>
                <w:rFonts w:hint="eastAsia" w:ascii="宋体" w:hAnsi="宋体" w:eastAsiaTheme="minorEastAsia"/>
                <w:color w:val="auto"/>
                <w:sz w:val="24"/>
                <w:highlight w:val="none"/>
                <w:lang w:val="en-US" w:eastAsia="zh-CN"/>
              </w:rPr>
            </w:pPr>
            <w:r>
              <w:rPr>
                <w:rFonts w:hint="eastAsia" w:ascii="宋体" w:hAnsi="宋体"/>
                <w:color w:val="auto"/>
                <w:sz w:val="24"/>
                <w:highlight w:val="none"/>
                <w:lang w:val="en-US" w:eastAsia="zh-CN"/>
              </w:rPr>
              <w:t>六</w:t>
            </w:r>
          </w:p>
        </w:tc>
        <w:tc>
          <w:tcPr>
            <w:tcW w:w="107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533"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5</w:t>
            </w:r>
          </w:p>
        </w:tc>
        <w:tc>
          <w:tcPr>
            <w:tcW w:w="530" w:type="pct"/>
            <w:noWrap w:val="0"/>
            <w:vAlign w:val="center"/>
          </w:tcPr>
          <w:p>
            <w:pPr>
              <w:spacing w:before="124" w:beforeLines="40" w:after="124" w:afterLines="40"/>
              <w:ind w:left="-107" w:leftChars="-51" w:right="-82" w:rightChars="-39"/>
              <w:jc w:val="center"/>
              <w:rPr>
                <w:rFonts w:hint="default" w:ascii="宋体" w:hAnsi="宋体" w:eastAsiaTheme="minorEastAsia" w:cstheme="minorBidi"/>
                <w:color w:val="auto"/>
                <w:kern w:val="2"/>
                <w:sz w:val="24"/>
                <w:szCs w:val="24"/>
                <w:lang w:val="en-US" w:eastAsia="zh-CN" w:bidi="ar-SA"/>
              </w:rPr>
            </w:pPr>
            <w:r>
              <w:rPr>
                <w:rFonts w:hint="eastAsia" w:ascii="宋体" w:hAnsi="宋体"/>
                <w:color w:val="auto"/>
                <w:sz w:val="24"/>
                <w:szCs w:val="24"/>
              </w:rPr>
              <w:t>20</w:t>
            </w:r>
          </w:p>
        </w:tc>
        <w:tc>
          <w:tcPr>
            <w:tcW w:w="530"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rPr>
              <w:t>1</w:t>
            </w:r>
            <w:r>
              <w:rPr>
                <w:rFonts w:hint="eastAsia" w:ascii="宋体" w:hAnsi="宋体"/>
                <w:color w:val="auto"/>
                <w:sz w:val="24"/>
                <w:szCs w:val="24"/>
                <w:lang w:val="en-US" w:eastAsia="zh-CN"/>
              </w:rPr>
              <w:t>0</w:t>
            </w:r>
          </w:p>
        </w:tc>
        <w:tc>
          <w:tcPr>
            <w:tcW w:w="531"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17</w:t>
            </w:r>
          </w:p>
        </w:tc>
        <w:tc>
          <w:tcPr>
            <w:tcW w:w="625" w:type="pct"/>
            <w:noWrap w:val="0"/>
            <w:vAlign w:val="center"/>
          </w:tcPr>
          <w:p>
            <w:pPr>
              <w:spacing w:before="124" w:beforeLines="40" w:after="124" w:afterLines="40"/>
              <w:ind w:left="-107" w:leftChars="-51" w:right="-82" w:rightChars="-39"/>
              <w:jc w:val="center"/>
              <w:rPr>
                <w:rFonts w:hint="default"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10</w:t>
            </w:r>
          </w:p>
        </w:tc>
        <w:tc>
          <w:tcPr>
            <w:tcW w:w="645" w:type="pct"/>
            <w:noWrap w:val="0"/>
            <w:vAlign w:val="center"/>
          </w:tcPr>
          <w:p>
            <w:pPr>
              <w:spacing w:before="124" w:beforeLines="40" w:after="124" w:afterLines="40"/>
              <w:ind w:left="-107" w:leftChars="-51" w:right="-82" w:rightChars="-39"/>
              <w:jc w:val="center"/>
              <w:rPr>
                <w:rFonts w:hint="eastAsia" w:ascii="宋体" w:hAnsi="宋体" w:eastAsia="宋体" w:cstheme="minorBidi"/>
                <w:color w:val="auto"/>
                <w:kern w:val="2"/>
                <w:sz w:val="24"/>
                <w:szCs w:val="24"/>
                <w:lang w:val="en-US" w:eastAsia="zh-CN" w:bidi="ar-SA"/>
              </w:rPr>
            </w:pPr>
            <w:r>
              <w:rPr>
                <w:rFonts w:hint="eastAsia" w:ascii="宋体" w:hAnsi="宋体"/>
                <w:color w:val="auto"/>
                <w:sz w:val="24"/>
                <w:szCs w:val="24"/>
                <w:lang w:val="en-US" w:eastAsia="zh-CN"/>
              </w:rPr>
              <w:t>38</w:t>
            </w:r>
          </w:p>
        </w:tc>
        <w:tc>
          <w:tcPr>
            <w:tcW w:w="1074"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533"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53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2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5"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07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
      <w:pPr>
        <w:rPr>
          <w:rFonts w:ascii="宋体" w:hAnsi="宋体"/>
          <w:color w:val="auto"/>
          <w:sz w:val="24"/>
        </w:rPr>
      </w:pPr>
      <w:r>
        <w:rPr>
          <w:rFonts w:hint="eastAsia" w:ascii="宋体" w:hAnsi="宋体" w:cs="宋体"/>
          <w:b/>
          <w:color w:val="auto"/>
        </w:rPr>
        <w:t>一、判断题（判断正误，判断以下论述的正误，认为正确的就在答题相应位置划“√”，错误的划“×”。每小题1分，共计</w:t>
      </w:r>
      <w:r>
        <w:rPr>
          <w:rFonts w:hint="eastAsia" w:ascii="宋体" w:hAnsi="宋体" w:cs="宋体"/>
          <w:b/>
          <w:color w:val="auto"/>
          <w:lang w:val="en-US" w:eastAsia="zh-CN"/>
        </w:rPr>
        <w:t>5</w:t>
      </w:r>
      <w:r>
        <w:rPr>
          <w:rFonts w:hint="eastAsia" w:ascii="宋体" w:hAnsi="宋体" w:cs="宋体"/>
          <w:b/>
          <w:color w:val="auto"/>
        </w:rPr>
        <w:t>分）</w:t>
      </w:r>
    </w:p>
    <w:p>
      <w:pPr>
        <w:keepNext w:val="0"/>
        <w:keepLines w:val="0"/>
        <w:pageBreakBefore w:val="0"/>
        <w:widowControl w:val="0"/>
        <w:kinsoku/>
        <w:wordWrap/>
        <w:overflowPunct/>
        <w:topLinePunct w:val="0"/>
        <w:autoSpaceDE/>
        <w:autoSpaceDN/>
        <w:bidi w:val="0"/>
        <w:adjustRightInd/>
        <w:snapToGrid/>
        <w:spacing w:line="22" w:lineRule="atLeast"/>
        <w:jc w:val="left"/>
        <w:textAlignment w:val="auto"/>
        <w:rPr>
          <w:rFonts w:hint="eastAsia" w:ascii="宋体" w:hAnsi="宋体" w:eastAsia="宋体" w:cs="宋体"/>
          <w:color w:val="000000"/>
          <w:szCs w:val="21"/>
        </w:rPr>
      </w:pPr>
      <w:r>
        <w:rPr>
          <w:rFonts w:hint="eastAsia" w:ascii="宋体" w:hAnsi="宋体" w:eastAsia="宋体" w:cs="宋体"/>
          <w:color w:val="000000"/>
          <w:szCs w:val="21"/>
        </w:rPr>
        <w:t>1.注册会计师在执行业务时必须与客户保持实质上和形式上的独立。</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2" w:lineRule="atLeast"/>
        <w:jc w:val="left"/>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历史财务信息审计业务、审阅业务以及其他鉴证业务均需要注册会计师提供合理保证。</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 </w:t>
      </w:r>
    </w:p>
    <w:p>
      <w:pPr>
        <w:keepNext w:val="0"/>
        <w:keepLines w:val="0"/>
        <w:pageBreakBefore w:val="0"/>
        <w:widowControl w:val="0"/>
        <w:kinsoku/>
        <w:wordWrap/>
        <w:overflowPunct/>
        <w:topLinePunct w:val="0"/>
        <w:autoSpaceDE/>
        <w:autoSpaceDN/>
        <w:bidi w:val="0"/>
        <w:adjustRightInd/>
        <w:snapToGrid/>
        <w:spacing w:line="22" w:lineRule="atLeast"/>
        <w:jc w:val="left"/>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由于不可预见情况，导致无法在预定日期实施存货监盘，注册会计师应当另择日期实施监盘，并对间隔期内发生的交易实施审计程序</w:t>
      </w:r>
      <w:r>
        <w:rPr>
          <w:rFonts w:hint="eastAsia" w:ascii="宋体" w:hAnsi="宋体" w:eastAsia="宋体" w:cs="宋体"/>
          <w:color w:val="000000"/>
          <w:szCs w:val="21"/>
        </w:rPr>
        <w:t xml:space="preserve">。  </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  </w:t>
      </w:r>
      <w:r>
        <w:rPr>
          <w:rFonts w:hint="eastAsia" w:ascii="宋体" w:hAnsi="宋体" w:eastAsia="宋体" w:cs="宋体"/>
          <w:color w:val="000000"/>
          <w:szCs w:val="21"/>
          <w:lang w:eastAsia="zh-CN"/>
        </w:rPr>
        <w:t>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2" w:lineRule="atLeast"/>
        <w:jc w:val="left"/>
        <w:textAlignment w:val="auto"/>
        <w:rPr>
          <w:rFonts w:hint="eastAsia" w:ascii="宋体" w:hAnsi="宋体" w:eastAsia="宋体" w:cs="宋体"/>
          <w:color w:val="000000"/>
          <w:szCs w:val="21"/>
          <w:lang w:val="en-US" w:eastAsia="zh-CN"/>
        </w:rPr>
      </w:pPr>
      <w:r>
        <w:rPr>
          <w:rFonts w:hint="eastAsia" w:ascii="宋体" w:hAnsi="宋体" w:eastAsia="宋体" w:cs="宋体"/>
          <w:lang w:val="en-US" w:eastAsia="zh-CN"/>
        </w:rPr>
        <w:t>4. 注册会计师应当根据具体情况并运用职业判断，确定使用统计抽样或非统计抽样方法</w:t>
      </w:r>
      <w:r>
        <w:rPr>
          <w:rFonts w:hint="eastAsia" w:ascii="宋体" w:hAnsi="宋体" w:eastAsia="宋体" w:cs="宋体"/>
          <w:color w:val="000000"/>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2" w:lineRule="atLeast"/>
        <w:ind w:firstLine="7140" w:firstLineChars="3400"/>
        <w:jc w:val="left"/>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   ）　　　　</w:t>
      </w:r>
      <w:r>
        <w:rPr>
          <w:rFonts w:hint="eastAsia" w:ascii="宋体" w:hAnsi="宋体" w:eastAsia="宋体" w:cs="宋体"/>
          <w:color w:val="000000"/>
          <w:szCs w:val="21"/>
        </w:rPr>
        <w:t xml:space="preserve">   </w:t>
      </w:r>
    </w:p>
    <w:p>
      <w:pPr>
        <w:numPr>
          <w:ilvl w:val="0"/>
          <w:numId w:val="1"/>
        </w:numPr>
        <w:rPr>
          <w:rFonts w:hint="eastAsia" w:ascii="宋体" w:hAnsi="宋体" w:eastAsia="宋体" w:cs="宋体"/>
          <w:lang w:val="en-US" w:eastAsia="zh-CN"/>
        </w:rPr>
      </w:pPr>
      <w:r>
        <w:rPr>
          <w:rFonts w:hint="eastAsia" w:ascii="宋体" w:hAnsi="宋体" w:eastAsia="宋体" w:cs="宋体"/>
          <w:lang w:val="en-US" w:eastAsia="zh-CN"/>
        </w:rPr>
        <w:t xml:space="preserve">在确定重要性水平时，注册会计师既要根据具体环境对错报的金额进行判断，也要对错报的性质进行判断。同时，还要满足个别财务报表使用者对财务信息的特殊需求。 （    ） </w:t>
      </w:r>
    </w:p>
    <w:p>
      <w:pPr>
        <w:numPr>
          <w:numId w:val="0"/>
        </w:numPr>
        <w:rPr>
          <w:rFonts w:hint="eastAsia" w:ascii="宋体" w:hAnsi="宋体" w:eastAsia="宋体" w:cs="宋体"/>
          <w:lang w:val="en-US" w:eastAsia="zh-CN"/>
        </w:rPr>
      </w:pPr>
    </w:p>
    <w:p>
      <w:pPr>
        <w:numPr>
          <w:ilvl w:val="0"/>
          <w:numId w:val="2"/>
        </w:numPr>
        <w:rPr>
          <w:rFonts w:hint="eastAsia" w:ascii="宋体" w:hAnsi="宋体" w:cs="宋体"/>
          <w:b/>
        </w:rPr>
      </w:pPr>
      <w:r>
        <w:rPr>
          <w:rFonts w:hint="eastAsia" w:ascii="宋体" w:hAnsi="宋体" w:cs="宋体"/>
          <w:b/>
        </w:rPr>
        <w:t>单项选择题（从下列各题答案中选出一个正确答案，并将答案写在本题答案栏相应位置，每题2分，共20分）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lang w:val="en-US" w:eastAsia="zh-CN"/>
        </w:rPr>
      </w:pPr>
      <w:r>
        <w:rPr>
          <w:rFonts w:hint="eastAsia" w:ascii="宋体" w:hAnsi="宋体" w:eastAsia="宋体" w:cs="宋体"/>
          <w:lang w:val="en-US" w:eastAsia="zh-CN"/>
        </w:rPr>
        <w:t>1.下列各项中，关于财务报表审计责任划分的表述错误的是（  ）</w:t>
      </w:r>
    </w:p>
    <w:p>
      <w:pPr>
        <w:keepNext w:val="0"/>
        <w:keepLines w:val="0"/>
        <w:pageBreakBefore w:val="0"/>
        <w:widowControl w:val="0"/>
        <w:numPr>
          <w:ilvl w:val="0"/>
          <w:numId w:val="0"/>
        </w:numPr>
        <w:kinsoku/>
        <w:wordWrap/>
        <w:overflowPunct/>
        <w:topLinePunct w:val="0"/>
        <w:autoSpaceDE/>
        <w:autoSpaceDN/>
        <w:bidi w:val="0"/>
        <w:adjustRightInd/>
        <w:snapToGrid/>
        <w:ind w:firstLine="231" w:firstLineChars="110"/>
        <w:jc w:val="both"/>
        <w:textAlignment w:val="auto"/>
        <w:rPr>
          <w:rFonts w:hint="eastAsia" w:ascii="宋体" w:hAnsi="宋体" w:eastAsia="宋体" w:cs="宋体"/>
          <w:lang w:val="en-US" w:eastAsia="zh-CN"/>
        </w:rPr>
      </w:pPr>
      <w:r>
        <w:rPr>
          <w:rFonts w:hint="eastAsia" w:ascii="宋体" w:hAnsi="宋体" w:eastAsia="宋体" w:cs="宋体"/>
          <w:lang w:val="en-US" w:eastAsia="zh-CN"/>
        </w:rPr>
        <w:t>A. 财务报表审计不能减轻被审计单位管理层和治理层的责任；</w:t>
      </w:r>
    </w:p>
    <w:p>
      <w:pPr>
        <w:keepNext w:val="0"/>
        <w:keepLines w:val="0"/>
        <w:pageBreakBefore w:val="0"/>
        <w:widowControl w:val="0"/>
        <w:numPr>
          <w:ilvl w:val="0"/>
          <w:numId w:val="0"/>
        </w:numPr>
        <w:kinsoku/>
        <w:wordWrap/>
        <w:overflowPunct/>
        <w:topLinePunct w:val="0"/>
        <w:autoSpaceDE/>
        <w:autoSpaceDN/>
        <w:bidi w:val="0"/>
        <w:adjustRightInd/>
        <w:snapToGrid/>
        <w:ind w:firstLine="231" w:firstLineChars="110"/>
        <w:jc w:val="both"/>
        <w:textAlignment w:val="auto"/>
        <w:rPr>
          <w:rFonts w:hint="eastAsia" w:ascii="宋体" w:hAnsi="宋体" w:eastAsia="宋体" w:cs="宋体"/>
          <w:lang w:val="en-US" w:eastAsia="zh-CN"/>
        </w:rPr>
      </w:pPr>
      <w:r>
        <w:rPr>
          <w:rFonts w:hint="eastAsia" w:ascii="宋体" w:hAnsi="宋体" w:eastAsia="宋体" w:cs="宋体"/>
          <w:lang w:val="en-US" w:eastAsia="zh-CN"/>
        </w:rPr>
        <w:t>B. 财务报表中如果含有错报，管理层和治理层应承担部分责任；</w:t>
      </w:r>
    </w:p>
    <w:p>
      <w:pPr>
        <w:keepNext w:val="0"/>
        <w:keepLines w:val="0"/>
        <w:pageBreakBefore w:val="0"/>
        <w:widowControl w:val="0"/>
        <w:numPr>
          <w:ilvl w:val="0"/>
          <w:numId w:val="0"/>
        </w:numPr>
        <w:kinsoku/>
        <w:wordWrap/>
        <w:overflowPunct/>
        <w:topLinePunct w:val="0"/>
        <w:autoSpaceDE/>
        <w:autoSpaceDN/>
        <w:bidi w:val="0"/>
        <w:adjustRightInd/>
        <w:snapToGrid/>
        <w:ind w:firstLine="231" w:firstLineChars="110"/>
        <w:jc w:val="both"/>
        <w:textAlignment w:val="auto"/>
        <w:rPr>
          <w:rFonts w:hint="eastAsia" w:ascii="宋体" w:hAnsi="宋体" w:eastAsia="宋体" w:cs="宋体"/>
          <w:lang w:val="en-US" w:eastAsia="zh-CN"/>
        </w:rPr>
      </w:pPr>
      <w:r>
        <w:rPr>
          <w:rFonts w:hint="eastAsia" w:ascii="宋体" w:hAnsi="宋体" w:eastAsia="宋体" w:cs="宋体"/>
          <w:lang w:val="en-US" w:eastAsia="zh-CN"/>
        </w:rPr>
        <w:t>C. 为了履行编制财务报表的职责，管理通常设计、执行和维护与财务报表编制相关的内部控制，以保证财务报表不存在由于舞弊或错误而导致的重大错报；</w:t>
      </w:r>
    </w:p>
    <w:p>
      <w:pPr>
        <w:keepNext w:val="0"/>
        <w:keepLines w:val="0"/>
        <w:pageBreakBefore w:val="0"/>
        <w:widowControl w:val="0"/>
        <w:kinsoku/>
        <w:wordWrap/>
        <w:overflowPunct/>
        <w:topLinePunct w:val="0"/>
        <w:autoSpaceDE/>
        <w:autoSpaceDN/>
        <w:bidi w:val="0"/>
        <w:adjustRightInd/>
        <w:snapToGrid/>
        <w:ind w:firstLine="231" w:firstLineChars="110"/>
        <w:textAlignment w:val="auto"/>
        <w:rPr>
          <w:rFonts w:hint="eastAsia" w:ascii="宋体" w:hAnsi="宋体" w:eastAsia="宋体" w:cs="宋体"/>
          <w:lang w:val="en-US" w:eastAsia="zh-CN"/>
        </w:rPr>
      </w:pPr>
      <w:r>
        <w:rPr>
          <w:rFonts w:hint="eastAsia" w:ascii="宋体" w:hAnsi="宋体" w:eastAsia="宋体" w:cs="宋体"/>
          <w:lang w:val="en-US" w:eastAsia="zh-CN"/>
        </w:rPr>
        <w:t>D. 按照中国注册会计师审计准则的规定对财务报表发表审计意见是注册会计师的责任。</w:t>
      </w:r>
    </w:p>
    <w:p>
      <w:pPr>
        <w:widowControl w:val="0"/>
        <w:numPr>
          <w:ilvl w:val="0"/>
          <w:numId w:val="0"/>
        </w:numPr>
        <w:jc w:val="both"/>
        <w:rPr>
          <w:rFonts w:hint="eastAsia" w:ascii="宋体" w:hAnsi="宋体" w:eastAsia="宋体" w:cs="宋体"/>
          <w:color w:val="auto"/>
          <w:lang w:val="en-US" w:eastAsia="zh-CN"/>
        </w:rPr>
      </w:pPr>
      <w:r>
        <w:rPr>
          <w:rFonts w:hint="eastAsia" w:ascii="宋体" w:hAnsi="宋体" w:eastAsia="宋体" w:cs="宋体"/>
          <w:lang w:val="en-US" w:eastAsia="zh-CN"/>
        </w:rPr>
        <w:t>2.</w:t>
      </w:r>
      <w:r>
        <w:rPr>
          <w:rFonts w:hint="eastAsia" w:ascii="宋体" w:hAnsi="宋体" w:eastAsia="宋体" w:cs="宋体"/>
          <w:color w:val="auto"/>
          <w:lang w:val="en-US" w:eastAsia="zh-CN"/>
        </w:rPr>
        <w:t>下列有关审计风险的说法中，错误的是（   ）</w:t>
      </w:r>
    </w:p>
    <w:p>
      <w:pPr>
        <w:widowControl w:val="0"/>
        <w:numPr>
          <w:ilvl w:val="0"/>
          <w:numId w:val="0"/>
        </w:numPr>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A. 注册会计师能够降低检查风险；</w:t>
      </w:r>
    </w:p>
    <w:p>
      <w:pPr>
        <w:widowControl w:val="0"/>
        <w:numPr>
          <w:ilvl w:val="0"/>
          <w:numId w:val="0"/>
        </w:numPr>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B. 注册会计师可以通过调整重要性降低检查风险；</w:t>
      </w:r>
    </w:p>
    <w:p>
      <w:pPr>
        <w:widowControl w:val="0"/>
        <w:numPr>
          <w:ilvl w:val="0"/>
          <w:numId w:val="0"/>
        </w:numPr>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C. 认定层次重大错报风险可以进一步细分为固有风险和控制风险；</w:t>
      </w:r>
    </w:p>
    <w:p>
      <w:pPr>
        <w:widowControl w:val="0"/>
        <w:numPr>
          <w:ilvl w:val="0"/>
          <w:numId w:val="0"/>
        </w:numPr>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D. 在审计风险模型中，在既定审计风险水平下，认定层次重大错报风险与可接受的检查风险是反向关系。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lang w:val="en-US" w:eastAsia="zh-CN"/>
        </w:rPr>
      </w:pPr>
      <w:r>
        <w:rPr>
          <w:rFonts w:hint="eastAsia" w:ascii="宋体" w:hAnsi="宋体" w:eastAsia="宋体" w:cs="宋体"/>
          <w:lang w:val="en-US" w:eastAsia="zh-CN"/>
        </w:rPr>
        <w:t>3.有关审计抽样的下列表述中，正确的是（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宋体" w:hAnsi="宋体" w:eastAsia="宋体" w:cs="宋体"/>
          <w:lang w:val="en-US" w:eastAsia="zh-CN"/>
        </w:rPr>
      </w:pPr>
      <w:r>
        <w:rPr>
          <w:rFonts w:hint="eastAsia" w:ascii="宋体" w:hAnsi="宋体" w:eastAsia="宋体" w:cs="宋体"/>
          <w:lang w:val="en-US" w:eastAsia="zh-CN"/>
        </w:rPr>
        <w:t>A.注册会计师可采用统计抽样或非统计抽样方法选取样本，只要运用得当，均可获得充分、适当的审计证据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ascii="宋体" w:hAnsi="宋体"/>
          <w:szCs w:val="21"/>
        </w:rPr>
      </w:pPr>
      <w:r>
        <w:rPr>
          <w:rFonts w:hint="eastAsia" w:ascii="宋体" w:hAnsi="宋体"/>
          <w:szCs w:val="21"/>
        </w:rPr>
        <w:t>B.审计抽样适用于控制测试和实质性测试中的所有审计程序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ascii="Calibri" w:hAnsi="Calibri" w:eastAsia="宋体" w:cs="Times New Roman"/>
          <w:lang w:val="en-US" w:eastAsia="zh-CN"/>
        </w:rPr>
      </w:pPr>
      <w:r>
        <w:rPr>
          <w:rFonts w:hint="default" w:ascii="Calibri" w:hAnsi="Calibri" w:eastAsia="宋体" w:cs="Times New Roman"/>
          <w:lang w:val="en-US" w:eastAsia="zh-CN"/>
        </w:rPr>
        <w:t>C.统计抽样和非统计抽样方法的选用，影响运用于样本的审计程序的选择</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ascii="Calibri" w:hAnsi="Calibri" w:eastAsia="宋体" w:cs="Times New Roman"/>
          <w:lang w:val="en-US" w:eastAsia="zh-CN"/>
        </w:rPr>
      </w:pPr>
      <w:r>
        <w:rPr>
          <w:rFonts w:hint="default" w:ascii="Calibri" w:hAnsi="Calibri" w:eastAsia="宋体" w:cs="Times New Roman"/>
          <w:lang w:val="en-US" w:eastAsia="zh-CN"/>
        </w:rPr>
        <w:t>D.信赖过度风险和误受风险影响审计效率</w:t>
      </w:r>
    </w:p>
    <w:p>
      <w:pPr>
        <w:numPr>
          <w:ilvl w:val="0"/>
          <w:numId w:val="0"/>
        </w:numPr>
        <w:rPr>
          <w:rFonts w:hint="eastAsia"/>
          <w:lang w:val="en-US" w:eastAsia="zh-CN"/>
        </w:rPr>
      </w:pPr>
      <w:r>
        <w:rPr>
          <w:rFonts w:hint="eastAsia" w:ascii="Calibri" w:hAnsi="Calibri" w:eastAsia="宋体" w:cs="Times New Roman"/>
          <w:lang w:val="en-US" w:eastAsia="zh-CN"/>
        </w:rPr>
        <w:t xml:space="preserve">4. </w:t>
      </w:r>
      <w:r>
        <w:rPr>
          <w:rFonts w:hint="eastAsia"/>
          <w:lang w:val="en-US" w:eastAsia="zh-CN"/>
        </w:rPr>
        <w:t>下列有关存货监盘的说法，正确的是（   ）</w:t>
      </w:r>
    </w:p>
    <w:p>
      <w:pPr>
        <w:numPr>
          <w:ilvl w:val="0"/>
          <w:numId w:val="0"/>
        </w:numPr>
        <w:rPr>
          <w:rFonts w:hint="eastAsia"/>
          <w:lang w:val="en-US" w:eastAsia="zh-CN"/>
        </w:rPr>
      </w:pPr>
      <w:r>
        <w:rPr>
          <w:rFonts w:hint="eastAsia"/>
          <w:lang w:val="en-US" w:eastAsia="zh-CN"/>
        </w:rPr>
        <w:t>　A. 注册会计师仅采用观察程序实施存货监盘；</w:t>
      </w:r>
    </w:p>
    <w:p>
      <w:pPr>
        <w:numPr>
          <w:ilvl w:val="0"/>
          <w:numId w:val="0"/>
        </w:numPr>
        <w:rPr>
          <w:rFonts w:hint="eastAsia"/>
          <w:lang w:val="en-US" w:eastAsia="zh-CN"/>
        </w:rPr>
      </w:pPr>
      <w:r>
        <w:rPr>
          <w:rFonts w:hint="eastAsia"/>
          <w:lang w:val="en-US" w:eastAsia="zh-CN"/>
        </w:rPr>
        <w:t>　B. 注册会计师实施存货监盘通常可以确定存货的所有权；</w:t>
      </w:r>
    </w:p>
    <w:p>
      <w:pPr>
        <w:numPr>
          <w:ilvl w:val="0"/>
          <w:numId w:val="0"/>
        </w:numPr>
        <w:rPr>
          <w:rFonts w:hint="eastAsia"/>
          <w:lang w:val="en-US" w:eastAsia="zh-CN"/>
        </w:rPr>
      </w:pPr>
      <w:r>
        <w:rPr>
          <w:rFonts w:hint="eastAsia"/>
          <w:lang w:val="en-US" w:eastAsia="zh-CN"/>
        </w:rPr>
        <w:t>　C. 由于不可预见的情况而导致无法在预定日期实施存货监盘，注册会计师可以实施替代审计程序；</w:t>
      </w:r>
    </w:p>
    <w:p>
      <w:pPr>
        <w:numPr>
          <w:ilvl w:val="0"/>
          <w:numId w:val="0"/>
        </w:numPr>
        <w:rPr>
          <w:rFonts w:hint="eastAsia"/>
          <w:lang w:val="en-US" w:eastAsia="zh-CN"/>
        </w:rPr>
      </w:pPr>
      <w:r>
        <w:rPr>
          <w:rFonts w:hint="eastAsia"/>
          <w:lang w:val="en-US" w:eastAsia="zh-CN"/>
        </w:rPr>
        <w:t>　D. 存货监盘可以获取存货完整性认定及准确性、计价及分摊认定的部分证据；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5. 下列有关审计工作底稿归档期限的表述中，正确的是（  ）</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A. 如果完成审计业务，归档期限为审计报告日后60天内；</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B. 如果完成审计业务，归档期限为外勤审计工作结束日后60天内；</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C. 如果未能完成审计业务，归档期限为外勤审计工作中止日后30天内；</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D. 如果未能完成审计业务，归档期限为审计业务中止日后30天内。</w:t>
      </w:r>
    </w:p>
    <w:p>
      <w:pPr>
        <w:widowControl w:val="0"/>
        <w:numPr>
          <w:ilvl w:val="0"/>
          <w:numId w:val="0"/>
        </w:numPr>
        <w:jc w:val="both"/>
        <w:rPr>
          <w:rFonts w:hint="default"/>
          <w:lang w:val="en-US" w:eastAsia="zh-CN"/>
        </w:rPr>
      </w:pPr>
      <w:r>
        <w:rPr>
          <w:rFonts w:hint="eastAsia" w:ascii="Calibri" w:hAnsi="Calibri" w:eastAsia="宋体" w:cs="Times New Roman"/>
          <w:lang w:val="en-US" w:eastAsia="zh-CN"/>
        </w:rPr>
        <w:t xml:space="preserve">6. </w:t>
      </w:r>
      <w:r>
        <w:rPr>
          <w:rFonts w:hint="default"/>
          <w:lang w:val="en-US" w:eastAsia="zh-CN"/>
        </w:rPr>
        <w:t>下列各项有关了解被审计单位及其环境的说法中，正确的是（  ）</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A. 注册会计师无须在审计完成阶段了解被审计单位及其环境；</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B. 注册会计师对被审计单位及其环境了解的程度，低于管理层为经营管理企业而对被审计单位及其环境需要了解的程度；</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C. 对小型被审计单位，注册会计师可以不了解被审计单位及其环境；</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D. 注册会计师对被审计单位及其环境了解的程度，取决于会计师</w:t>
      </w:r>
      <w:r>
        <w:rPr>
          <w:rFonts w:hint="eastAsia"/>
          <w:lang w:val="en-US" w:eastAsia="zh-CN"/>
        </w:rPr>
        <w:t>事务所</w:t>
      </w:r>
      <w:r>
        <w:rPr>
          <w:rFonts w:hint="default"/>
          <w:lang w:val="en-US" w:eastAsia="zh-CN"/>
        </w:rPr>
        <w:t>的质量管理政策。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7. 下列各项中，关于库存现金监盘，表述不正确的是</w:t>
      </w:r>
      <w:r>
        <w:rPr>
          <w:rFonts w:hint="default"/>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A. 企业盘点库存现金，通常包括对已收到但未存入银行的现金、零用金、找换金等盘点；</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B. 库存现金监盘表中应注明冲抵库存现金的借条、未提现支票和未作报销的原始凭证；</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C. 如果被审计单位库存现金存放部门有两处或两处以上，应分不同的时间进行盘点。</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D. 对库存现金的监盘最好实施突击性的检查，时间最好选择在上午上班前或下午下班时；</w:t>
      </w:r>
    </w:p>
    <w:p>
      <w:pPr>
        <w:widowControl w:val="0"/>
        <w:numPr>
          <w:ilvl w:val="0"/>
          <w:numId w:val="0"/>
        </w:numPr>
        <w:jc w:val="both"/>
        <w:rPr>
          <w:rFonts w:hint="default"/>
          <w:lang w:val="en-US" w:eastAsia="zh-CN"/>
        </w:rPr>
      </w:pPr>
      <w:r>
        <w:rPr>
          <w:rFonts w:hint="eastAsia" w:ascii="Calibri" w:hAnsi="Calibri" w:eastAsia="宋体" w:cs="Times New Roman"/>
          <w:lang w:val="en-US" w:eastAsia="zh-CN"/>
        </w:rPr>
        <w:t>8. 下</w:t>
      </w:r>
      <w:r>
        <w:rPr>
          <w:rFonts w:hint="default"/>
          <w:lang w:val="en-US" w:eastAsia="zh-CN"/>
        </w:rPr>
        <w:t>列各项中，通常表明存在财务报表层次重大错报风险的情形是（  ）</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A. 被审计单位的竞争者开发的新产品上市；</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B. 被审计单位从事复杂的金融工具投资；</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C. 被审计单位资产的流动性出现问题；</w:t>
      </w:r>
    </w:p>
    <w:p>
      <w:pPr>
        <w:widowControl w:val="0"/>
        <w:numPr>
          <w:ilvl w:val="0"/>
          <w:numId w:val="0"/>
        </w:numPr>
        <w:jc w:val="both"/>
        <w:rPr>
          <w:rFonts w:hint="default"/>
          <w:lang w:val="en-US" w:eastAsia="zh-CN"/>
        </w:rPr>
      </w:pPr>
      <w:r>
        <w:rPr>
          <w:rFonts w:hint="eastAsia"/>
          <w:lang w:val="en-US" w:eastAsia="zh-CN"/>
        </w:rPr>
        <w:t>　</w:t>
      </w:r>
      <w:r>
        <w:rPr>
          <w:rFonts w:hint="default"/>
          <w:lang w:val="en-US" w:eastAsia="zh-CN"/>
        </w:rPr>
        <w:t>D. 被审计单位存在重大的关联方交易。</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9. 下列实质性程序中，与查找未入账的应付账款无关的是（  ）</w:t>
      </w:r>
    </w:p>
    <w:p>
      <w:pPr>
        <w:keepNext w:val="0"/>
        <w:keepLines w:val="0"/>
        <w:pageBreakBefore w:val="0"/>
        <w:widowControl w:val="0"/>
        <w:numPr>
          <w:ilvl w:val="0"/>
          <w:numId w:val="0"/>
        </w:numPr>
        <w:kinsoku/>
        <w:wordWrap/>
        <w:overflowPunct/>
        <w:topLinePunct w:val="0"/>
        <w:autoSpaceDE/>
        <w:autoSpaceDN/>
        <w:bidi w:val="0"/>
        <w:adjustRightInd/>
        <w:snapToGrid/>
        <w:ind w:firstLine="210" w:firstLineChars="100"/>
        <w:jc w:val="both"/>
        <w:textAlignment w:val="auto"/>
        <w:rPr>
          <w:rFonts w:hint="default" w:ascii="Calibri" w:hAnsi="Calibri" w:eastAsia="宋体" w:cs="Times New Roman"/>
          <w:lang w:val="en-US" w:eastAsia="zh-CN"/>
        </w:rPr>
      </w:pPr>
      <w:r>
        <w:rPr>
          <w:rFonts w:hint="eastAsia" w:ascii="Calibri" w:hAnsi="Calibri" w:eastAsia="宋体" w:cs="Times New Roman"/>
          <w:lang w:val="en-US" w:eastAsia="zh-CN"/>
        </w:rPr>
        <w:t>A. 针对已偿付的应付账款，追查至银行对账单、银行付款单据和其他原始凭证，检查在资产负债表日前是否真实偿付；</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210" w:firstLineChars="100"/>
        <w:jc w:val="both"/>
        <w:textAlignment w:val="auto"/>
        <w:rPr>
          <w:rFonts w:hint="default" w:ascii="Calibri" w:hAnsi="Calibri" w:eastAsia="宋体" w:cs="Times New Roman"/>
          <w:lang w:val="en-US" w:eastAsia="zh-CN"/>
        </w:rPr>
      </w:pPr>
      <w:r>
        <w:rPr>
          <w:rFonts w:hint="eastAsia" w:ascii="Calibri" w:hAnsi="Calibri" w:eastAsia="宋体" w:cs="Times New Roman"/>
          <w:lang w:val="en-US" w:eastAsia="zh-CN"/>
        </w:rPr>
        <w:t>B. 以截至资产负债表日的应付账款明细账为起点，选取异常项目追查至相关验收单、供应商发票、订购单；</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210" w:firstLineChars="100"/>
        <w:jc w:val="both"/>
        <w:textAlignment w:val="auto"/>
        <w:rPr>
          <w:rFonts w:hint="default" w:ascii="Calibri" w:hAnsi="Calibri" w:eastAsia="宋体" w:cs="Times New Roman"/>
          <w:lang w:val="en-US" w:eastAsia="zh-CN"/>
        </w:rPr>
      </w:pPr>
      <w:r>
        <w:rPr>
          <w:rFonts w:hint="eastAsia" w:ascii="Calibri" w:hAnsi="Calibri" w:eastAsia="宋体" w:cs="Times New Roman"/>
          <w:lang w:val="en-US" w:eastAsia="zh-CN"/>
        </w:rPr>
        <w:t>C. 检查资产负债表日后应付账款明细账贷方发生额的相应凭证；</w:t>
      </w:r>
    </w:p>
    <w:p>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210" w:firstLineChars="100"/>
        <w:jc w:val="both"/>
        <w:textAlignment w:val="auto"/>
        <w:rPr>
          <w:rFonts w:hint="eastAsia" w:ascii="Calibri" w:hAnsi="Calibri" w:eastAsia="宋体" w:cs="Times New Roman"/>
          <w:lang w:val="en-US" w:eastAsia="zh-CN"/>
        </w:rPr>
      </w:pPr>
      <w:r>
        <w:rPr>
          <w:rFonts w:hint="eastAsia" w:ascii="Calibri" w:hAnsi="Calibri" w:eastAsia="宋体" w:cs="Times New Roman"/>
          <w:lang w:val="en-US" w:eastAsia="zh-CN"/>
        </w:rPr>
        <w:t>D. 检查资产负债表日后现金支出的主要凭证。</w:t>
      </w:r>
    </w:p>
    <w:p>
      <w:pPr>
        <w:numPr>
          <w:ilvl w:val="0"/>
          <w:numId w:val="0"/>
        </w:numPr>
        <w:jc w:val="both"/>
        <w:rPr>
          <w:rFonts w:hint="eastAsia"/>
          <w:lang w:val="en-US" w:eastAsia="zh-CN"/>
        </w:rPr>
      </w:pPr>
      <w:r>
        <w:rPr>
          <w:rFonts w:hint="eastAsia"/>
          <w:lang w:val="en-US" w:eastAsia="zh-CN"/>
        </w:rPr>
        <w:t>10.　如果注册会计师认为存货数量存在舞弊导致的重大错报风险，下列做法中，通常不能应对该风险的是（   ）</w:t>
      </w:r>
    </w:p>
    <w:p>
      <w:pPr>
        <w:numPr>
          <w:ilvl w:val="0"/>
          <w:numId w:val="0"/>
        </w:numPr>
        <w:jc w:val="both"/>
        <w:rPr>
          <w:rFonts w:hint="eastAsia"/>
          <w:lang w:val="en-US" w:eastAsia="zh-CN"/>
        </w:rPr>
      </w:pPr>
      <w:r>
        <w:rPr>
          <w:rFonts w:hint="eastAsia"/>
          <w:lang w:val="en-US" w:eastAsia="zh-CN"/>
        </w:rPr>
        <w:t>　A. 要求被审计单位在报告期末或邻近期末的时点实施存货盘点；</w:t>
      </w:r>
    </w:p>
    <w:p>
      <w:pPr>
        <w:numPr>
          <w:ilvl w:val="0"/>
          <w:numId w:val="0"/>
        </w:numPr>
        <w:jc w:val="both"/>
        <w:rPr>
          <w:rFonts w:hint="eastAsia"/>
          <w:lang w:val="en-US" w:eastAsia="zh-CN"/>
        </w:rPr>
      </w:pPr>
      <w:r>
        <w:rPr>
          <w:rFonts w:hint="eastAsia"/>
          <w:lang w:val="en-US" w:eastAsia="zh-CN"/>
        </w:rPr>
        <w:t>　B. 在不预见通知的情况下对特定存放地点的存货实施监盘；</w:t>
      </w:r>
    </w:p>
    <w:p>
      <w:pPr>
        <w:numPr>
          <w:ilvl w:val="0"/>
          <w:numId w:val="0"/>
        </w:numPr>
        <w:jc w:val="both"/>
        <w:rPr>
          <w:rFonts w:hint="eastAsia"/>
          <w:lang w:val="en-US" w:eastAsia="zh-CN"/>
        </w:rPr>
      </w:pPr>
      <w:r>
        <w:rPr>
          <w:rFonts w:hint="eastAsia"/>
          <w:lang w:val="en-US" w:eastAsia="zh-CN"/>
        </w:rPr>
        <w:t>　C. 利用专家的工作对特殊类型的存货实施更严格的检查；</w:t>
      </w:r>
    </w:p>
    <w:p>
      <w:pPr>
        <w:numPr>
          <w:numId w:val="0"/>
        </w:numPr>
        <w:rPr>
          <w:rFonts w:hint="eastAsia"/>
          <w:lang w:val="en-US" w:eastAsia="zh-CN"/>
        </w:rPr>
      </w:pPr>
      <w:r>
        <w:rPr>
          <w:rFonts w:hint="eastAsia"/>
          <w:lang w:val="en-US" w:eastAsia="zh-CN"/>
        </w:rPr>
        <w:t>　D. 扩大与存货相关的内部控制测试的样本规模。</w:t>
      </w:r>
    </w:p>
    <w:p>
      <w:pPr>
        <w:numPr>
          <w:numId w:val="0"/>
        </w:numPr>
        <w:rPr>
          <w:rFonts w:hint="eastAsia"/>
          <w:lang w:val="en-US" w:eastAsia="zh-CN"/>
        </w:rPr>
      </w:pPr>
    </w:p>
    <w:p>
      <w:pPr>
        <w:numPr>
          <w:ilvl w:val="0"/>
          <w:numId w:val="2"/>
        </w:numPr>
        <w:ind w:left="0" w:leftChars="0" w:firstLine="0" w:firstLineChars="0"/>
        <w:rPr>
          <w:rFonts w:hint="eastAsia"/>
          <w:b/>
          <w:szCs w:val="21"/>
        </w:rPr>
      </w:pPr>
      <w:r>
        <w:rPr>
          <w:rFonts w:hint="eastAsia"/>
          <w:b/>
          <w:szCs w:val="21"/>
        </w:rPr>
        <w:t>多项选择题（从下列各题备选答案中选出所有正确答案，并将答案写在本题答案栏相应位置。答案选错或未选全者，该题不得分。每题</w:t>
      </w:r>
      <w:r>
        <w:rPr>
          <w:rFonts w:hint="eastAsia"/>
          <w:b/>
          <w:szCs w:val="21"/>
          <w:highlight w:val="none"/>
          <w:lang w:val="en-US" w:eastAsia="zh-CN"/>
        </w:rPr>
        <w:t>2</w:t>
      </w:r>
      <w:r>
        <w:rPr>
          <w:rFonts w:hint="eastAsia"/>
          <w:b/>
          <w:szCs w:val="21"/>
          <w:highlight w:val="none"/>
        </w:rPr>
        <w:t>分，共1</w:t>
      </w:r>
      <w:r>
        <w:rPr>
          <w:rFonts w:hint="eastAsia"/>
          <w:b/>
          <w:szCs w:val="21"/>
          <w:highlight w:val="none"/>
          <w:lang w:val="en-US" w:eastAsia="zh-CN"/>
        </w:rPr>
        <w:t>0</w:t>
      </w:r>
      <w:r>
        <w:rPr>
          <w:rFonts w:hint="eastAsia"/>
          <w:b/>
          <w:szCs w:val="21"/>
          <w:highlight w:val="none"/>
        </w:rPr>
        <w:t>分</w:t>
      </w:r>
      <w:r>
        <w:rPr>
          <w:rFonts w:hint="eastAsia"/>
          <w:b/>
          <w:szCs w:val="21"/>
        </w:rPr>
        <w:t>）</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240" w:lineRule="auto"/>
        <w:jc w:val="both"/>
        <w:textAlignment w:val="auto"/>
        <w:rPr>
          <w:rFonts w:hint="default"/>
          <w:lang w:val="en-US" w:eastAsia="zh-CN"/>
        </w:rPr>
      </w:pPr>
      <w:r>
        <w:rPr>
          <w:rFonts w:hint="eastAsia"/>
          <w:lang w:val="en-US" w:eastAsia="zh-CN"/>
        </w:rPr>
        <w:t>1.</w:t>
      </w:r>
      <w:r>
        <w:rPr>
          <w:rFonts w:hint="default"/>
          <w:lang w:val="en-US" w:eastAsia="zh-CN"/>
        </w:rPr>
        <w:t>如果蓝天公司财务报表日资产负债表中存货项目期末显示的1000万元，根据对认定的理解，以下表述中，恰当的有（</w:t>
      </w:r>
      <w:r>
        <w:rPr>
          <w:rFonts w:hint="eastAsia"/>
          <w:lang w:val="en-US" w:eastAsia="zh-CN"/>
        </w:rPr>
        <w:t xml:space="preserve">    </w:t>
      </w:r>
      <w:r>
        <w:rPr>
          <w:rFonts w:hint="default"/>
          <w:lang w:val="en-US" w:eastAsia="zh-CN"/>
        </w:rPr>
        <w:t>）。</w:t>
      </w:r>
    </w:p>
    <w:p>
      <w:pPr>
        <w:widowControl w:val="0"/>
        <w:numPr>
          <w:ilvl w:val="0"/>
          <w:numId w:val="0"/>
        </w:numPr>
        <w:ind w:firstLine="210" w:firstLineChars="100"/>
        <w:jc w:val="both"/>
        <w:rPr>
          <w:rFonts w:hint="default"/>
          <w:lang w:val="en-US" w:eastAsia="zh-CN"/>
        </w:rPr>
      </w:pPr>
      <w:r>
        <w:rPr>
          <w:rFonts w:hint="default"/>
          <w:lang w:val="en-US" w:eastAsia="zh-CN"/>
        </w:rPr>
        <w:t>A.</w:t>
      </w:r>
      <w:r>
        <w:rPr>
          <w:rFonts w:hint="eastAsia"/>
          <w:lang w:val="en-US" w:eastAsia="zh-CN"/>
        </w:rPr>
        <w:t xml:space="preserve"> </w:t>
      </w:r>
      <w:r>
        <w:rPr>
          <w:rFonts w:hint="default"/>
          <w:lang w:val="en-US" w:eastAsia="zh-CN"/>
        </w:rPr>
        <w:t>财务报表日蓝天公司资产中所记录的存货1000万元是存在的，表明存货账面记录没有多记，如果注册会计师以该账面记录为起点能够追踪到对应的存货实物</w:t>
      </w:r>
      <w:r>
        <w:rPr>
          <w:rFonts w:hint="eastAsia"/>
          <w:lang w:val="en-US" w:eastAsia="zh-CN"/>
        </w:rPr>
        <w:t>；</w:t>
      </w:r>
    </w:p>
    <w:p>
      <w:pPr>
        <w:widowControl w:val="0"/>
        <w:numPr>
          <w:ilvl w:val="0"/>
          <w:numId w:val="0"/>
        </w:numPr>
        <w:ind w:firstLine="210" w:firstLineChars="100"/>
        <w:jc w:val="both"/>
        <w:rPr>
          <w:rFonts w:hint="default"/>
          <w:lang w:val="en-US" w:eastAsia="zh-CN"/>
        </w:rPr>
      </w:pPr>
      <w:r>
        <w:rPr>
          <w:rFonts w:hint="default"/>
          <w:lang w:val="en-US" w:eastAsia="zh-CN"/>
        </w:rPr>
        <w:t>B.</w:t>
      </w:r>
      <w:r>
        <w:rPr>
          <w:rFonts w:hint="eastAsia"/>
          <w:lang w:val="en-US" w:eastAsia="zh-CN"/>
        </w:rPr>
        <w:t xml:space="preserve"> </w:t>
      </w:r>
      <w:r>
        <w:rPr>
          <w:rFonts w:hint="default"/>
          <w:lang w:val="en-US" w:eastAsia="zh-CN"/>
        </w:rPr>
        <w:t>存货以恰当的金额1000万元记录在资产负债表中，与之相关的计价调整已恰当记录，表明存货在资产负债表的金额是正确的，并且已经对存货进行了期末减值估计</w:t>
      </w:r>
      <w:r>
        <w:rPr>
          <w:rFonts w:hint="eastAsia"/>
          <w:lang w:val="en-US" w:eastAsia="zh-CN"/>
        </w:rPr>
        <w:t>；</w:t>
      </w:r>
    </w:p>
    <w:p>
      <w:pPr>
        <w:widowControl w:val="0"/>
        <w:numPr>
          <w:ilvl w:val="0"/>
          <w:numId w:val="0"/>
        </w:numPr>
        <w:ind w:firstLine="210" w:firstLineChars="100"/>
        <w:jc w:val="both"/>
        <w:rPr>
          <w:rFonts w:hint="default"/>
          <w:lang w:val="en-US" w:eastAsia="zh-CN"/>
        </w:rPr>
      </w:pPr>
      <w:r>
        <w:rPr>
          <w:rFonts w:hint="default"/>
          <w:lang w:val="en-US" w:eastAsia="zh-CN"/>
        </w:rPr>
        <w:t>C.</w:t>
      </w:r>
      <w:r>
        <w:rPr>
          <w:rFonts w:hint="eastAsia"/>
          <w:lang w:val="en-US" w:eastAsia="zh-CN"/>
        </w:rPr>
        <w:t xml:space="preserve"> </w:t>
      </w:r>
      <w:r>
        <w:rPr>
          <w:rFonts w:hint="default"/>
          <w:lang w:val="en-US" w:eastAsia="zh-CN"/>
        </w:rPr>
        <w:t>所有应当记录的存货均已记录在1000万元中，表明实际存在的并且所有权属于蓝天公司的存货已经记录在资产负债表中，没有少记</w:t>
      </w:r>
      <w:r>
        <w:rPr>
          <w:rFonts w:hint="eastAsia"/>
          <w:lang w:val="en-US" w:eastAsia="zh-CN"/>
        </w:rPr>
        <w:t>；</w:t>
      </w:r>
    </w:p>
    <w:p>
      <w:pPr>
        <w:widowControl w:val="0"/>
        <w:numPr>
          <w:ilvl w:val="0"/>
          <w:numId w:val="0"/>
        </w:numPr>
        <w:ind w:firstLine="210" w:firstLineChars="100"/>
        <w:jc w:val="both"/>
        <w:rPr>
          <w:rFonts w:hint="default"/>
          <w:lang w:val="en-US" w:eastAsia="zh-CN"/>
        </w:rPr>
      </w:pPr>
      <w:r>
        <w:rPr>
          <w:rFonts w:hint="default"/>
          <w:lang w:val="en-US" w:eastAsia="zh-CN"/>
        </w:rPr>
        <w:t>D.</w:t>
      </w:r>
      <w:r>
        <w:rPr>
          <w:rFonts w:hint="eastAsia"/>
          <w:lang w:val="en-US" w:eastAsia="zh-CN"/>
        </w:rPr>
        <w:t xml:space="preserve"> </w:t>
      </w:r>
      <w:r>
        <w:rPr>
          <w:rFonts w:hint="default"/>
          <w:lang w:val="en-US" w:eastAsia="zh-CN"/>
        </w:rPr>
        <w:t>蓝天公司记录的存货均由其拥有或控制，表明存货资产都在被审计单位</w:t>
      </w:r>
      <w:r>
        <w:rPr>
          <w:rFonts w:hint="eastAsia"/>
          <w:lang w:val="en-US" w:eastAsia="zh-CN"/>
        </w:rPr>
        <w:t>。</w:t>
      </w:r>
    </w:p>
    <w:p>
      <w:pPr>
        <w:widowControl w:val="0"/>
        <w:numPr>
          <w:ilvl w:val="0"/>
          <w:numId w:val="0"/>
        </w:numPr>
        <w:jc w:val="both"/>
        <w:rPr>
          <w:rFonts w:hint="default"/>
          <w:lang w:val="en-US" w:eastAsia="zh-CN"/>
        </w:rPr>
      </w:pPr>
      <w:r>
        <w:rPr>
          <w:rFonts w:hint="eastAsia" w:ascii="Calibri" w:hAnsi="Calibri" w:eastAsia="宋体" w:cs="Times New Roman"/>
          <w:lang w:val="en-US" w:eastAsia="zh-CN"/>
        </w:rPr>
        <w:t>2.</w:t>
      </w:r>
      <w:r>
        <w:rPr>
          <w:rFonts w:hint="default"/>
          <w:lang w:val="en-US" w:eastAsia="zh-CN"/>
        </w:rPr>
        <w:t>下列各项中，关于重大错报风险，表述错误的有（  ）</w:t>
      </w:r>
    </w:p>
    <w:p>
      <w:pPr>
        <w:widowControl w:val="0"/>
        <w:numPr>
          <w:ilvl w:val="0"/>
          <w:numId w:val="0"/>
        </w:numPr>
        <w:ind w:firstLine="210" w:firstLineChars="100"/>
        <w:jc w:val="both"/>
        <w:rPr>
          <w:rFonts w:hint="default"/>
          <w:lang w:val="en-US" w:eastAsia="zh-CN"/>
        </w:rPr>
      </w:pPr>
      <w:r>
        <w:rPr>
          <w:rFonts w:hint="default"/>
          <w:lang w:val="en-US" w:eastAsia="zh-CN"/>
        </w:rPr>
        <w:t>A. 重大错报风险是因错误使用审计程序产生的；</w:t>
      </w:r>
    </w:p>
    <w:p>
      <w:pPr>
        <w:widowControl w:val="0"/>
        <w:numPr>
          <w:ilvl w:val="0"/>
          <w:numId w:val="0"/>
        </w:numPr>
        <w:ind w:firstLine="210" w:firstLineChars="100"/>
        <w:jc w:val="both"/>
        <w:rPr>
          <w:rFonts w:hint="default"/>
          <w:lang w:val="en-US" w:eastAsia="zh-CN"/>
        </w:rPr>
      </w:pPr>
      <w:r>
        <w:rPr>
          <w:rFonts w:hint="default"/>
          <w:lang w:val="en-US" w:eastAsia="zh-CN"/>
        </w:rPr>
        <w:t>B. 重大错报风险是假定不存在相关内部控制，某一认定发生错报的可能性；</w:t>
      </w:r>
    </w:p>
    <w:p>
      <w:pPr>
        <w:widowControl w:val="0"/>
        <w:numPr>
          <w:ilvl w:val="0"/>
          <w:numId w:val="0"/>
        </w:numPr>
        <w:ind w:firstLine="210" w:firstLineChars="100"/>
        <w:jc w:val="both"/>
        <w:rPr>
          <w:rFonts w:hint="default"/>
          <w:lang w:val="en-US" w:eastAsia="zh-CN"/>
        </w:rPr>
      </w:pPr>
      <w:r>
        <w:rPr>
          <w:rFonts w:hint="default"/>
          <w:lang w:val="en-US" w:eastAsia="zh-CN"/>
        </w:rPr>
        <w:t>C. 重大错报风险独立于财务报表审计而存在；</w:t>
      </w:r>
    </w:p>
    <w:p>
      <w:pPr>
        <w:widowControl w:val="0"/>
        <w:numPr>
          <w:ilvl w:val="0"/>
          <w:numId w:val="0"/>
        </w:numPr>
        <w:ind w:firstLine="210" w:firstLineChars="100"/>
        <w:jc w:val="both"/>
        <w:rPr>
          <w:rFonts w:hint="default"/>
          <w:lang w:val="en-US" w:eastAsia="zh-CN"/>
        </w:rPr>
      </w:pPr>
      <w:r>
        <w:rPr>
          <w:rFonts w:hint="default"/>
          <w:lang w:val="en-US" w:eastAsia="zh-CN"/>
        </w:rPr>
        <w:t>D. 重大错报风险可以通过合理实施审计程序予以控制。</w:t>
      </w:r>
    </w:p>
    <w:p>
      <w:pPr>
        <w:widowControl w:val="0"/>
        <w:numPr>
          <w:ilvl w:val="0"/>
          <w:numId w:val="0"/>
        </w:numPr>
        <w:jc w:val="both"/>
        <w:rPr>
          <w:rFonts w:hint="default"/>
          <w:lang w:val="en-US" w:eastAsia="zh-CN"/>
        </w:rPr>
      </w:pPr>
      <w:r>
        <w:rPr>
          <w:rFonts w:hint="eastAsia" w:ascii="Calibri" w:hAnsi="Calibri" w:eastAsia="宋体" w:cs="Times New Roman"/>
          <w:lang w:val="en-US" w:eastAsia="zh-CN"/>
        </w:rPr>
        <w:t>3.</w:t>
      </w:r>
      <w:r>
        <w:rPr>
          <w:rFonts w:hint="default"/>
          <w:lang w:val="en-US" w:eastAsia="zh-CN"/>
        </w:rPr>
        <w:t>下列各项中，注册会计师了解内部控制的相关表述，正确的有（  ）</w:t>
      </w:r>
    </w:p>
    <w:p>
      <w:pPr>
        <w:widowControl w:val="0"/>
        <w:numPr>
          <w:ilvl w:val="0"/>
          <w:numId w:val="0"/>
        </w:numPr>
        <w:ind w:firstLine="210" w:firstLineChars="100"/>
        <w:jc w:val="both"/>
        <w:rPr>
          <w:rFonts w:hint="default"/>
          <w:lang w:val="en-US" w:eastAsia="zh-CN"/>
        </w:rPr>
      </w:pPr>
      <w:r>
        <w:rPr>
          <w:rFonts w:hint="default"/>
          <w:lang w:val="en-US" w:eastAsia="zh-CN"/>
        </w:rPr>
        <w:t>A. 注册会计师了解被审计单位内部控制，是指评价内部控制的</w:t>
      </w:r>
      <w:r>
        <w:rPr>
          <w:rFonts w:hint="eastAsia"/>
          <w:lang w:val="en-US" w:eastAsia="zh-CN"/>
        </w:rPr>
        <w:t>设计</w:t>
      </w:r>
      <w:r>
        <w:rPr>
          <w:rFonts w:hint="default"/>
          <w:lang w:val="en-US" w:eastAsia="zh-CN"/>
        </w:rPr>
        <w:t>并确定其是否得到执行；</w:t>
      </w:r>
    </w:p>
    <w:p>
      <w:pPr>
        <w:widowControl w:val="0"/>
        <w:numPr>
          <w:ilvl w:val="0"/>
          <w:numId w:val="0"/>
        </w:numPr>
        <w:ind w:firstLine="210" w:firstLineChars="100"/>
        <w:jc w:val="both"/>
        <w:rPr>
          <w:rFonts w:hint="default"/>
          <w:lang w:val="en-US" w:eastAsia="zh-CN"/>
        </w:rPr>
      </w:pPr>
      <w:r>
        <w:rPr>
          <w:rFonts w:hint="default"/>
          <w:lang w:val="en-US" w:eastAsia="zh-CN"/>
        </w:rPr>
        <w:t>B. 注册会计师不需要了解被审计单位的所有内部控制；</w:t>
      </w:r>
    </w:p>
    <w:p>
      <w:pPr>
        <w:widowControl w:val="0"/>
        <w:numPr>
          <w:ilvl w:val="0"/>
          <w:numId w:val="0"/>
        </w:numPr>
        <w:ind w:firstLine="210" w:firstLineChars="100"/>
        <w:jc w:val="both"/>
        <w:rPr>
          <w:rFonts w:hint="default"/>
          <w:lang w:val="en-US" w:eastAsia="zh-CN"/>
        </w:rPr>
      </w:pPr>
      <w:r>
        <w:rPr>
          <w:rFonts w:hint="default"/>
          <w:lang w:val="en-US" w:eastAsia="zh-CN"/>
        </w:rPr>
        <w:t>C. 注册会计师对内部控制的了解通常不足以测试控制运行的有效性；</w:t>
      </w:r>
    </w:p>
    <w:p>
      <w:pPr>
        <w:widowControl w:val="0"/>
        <w:numPr>
          <w:ilvl w:val="0"/>
          <w:numId w:val="0"/>
        </w:numPr>
        <w:ind w:firstLine="210" w:firstLineChars="100"/>
        <w:jc w:val="both"/>
        <w:rPr>
          <w:rFonts w:hint="default"/>
          <w:lang w:val="en-US" w:eastAsia="zh-CN"/>
        </w:rPr>
      </w:pPr>
      <w:r>
        <w:rPr>
          <w:rFonts w:hint="default"/>
          <w:lang w:val="en-US" w:eastAsia="zh-CN"/>
        </w:rPr>
        <w:t>D. 注册会计师询问被审计单位人员不足以评价内部控制设计的有效性。</w:t>
      </w:r>
    </w:p>
    <w:p>
      <w:pPr>
        <w:numPr>
          <w:ilvl w:val="0"/>
          <w:numId w:val="0"/>
        </w:numPr>
        <w:rPr>
          <w:rFonts w:hint="default"/>
          <w:lang w:val="en-US" w:eastAsia="zh-CN"/>
        </w:rPr>
      </w:pPr>
      <w:r>
        <w:rPr>
          <w:rFonts w:hint="eastAsia"/>
          <w:lang w:val="en-US" w:eastAsia="zh-CN"/>
        </w:rPr>
        <w:t xml:space="preserve">4. </w:t>
      </w:r>
      <w:r>
        <w:rPr>
          <w:rFonts w:hint="default"/>
          <w:lang w:val="en-US" w:eastAsia="zh-CN"/>
        </w:rPr>
        <w:t>在存货盘点现场实施监盘时，注册会计师应当实施的审计程序（   ）</w:t>
      </w:r>
    </w:p>
    <w:p>
      <w:pPr>
        <w:numPr>
          <w:ilvl w:val="0"/>
          <w:numId w:val="0"/>
        </w:numPr>
        <w:ind w:firstLine="210" w:firstLineChars="100"/>
        <w:rPr>
          <w:rFonts w:hint="default"/>
          <w:lang w:val="en-US" w:eastAsia="zh-CN"/>
        </w:rPr>
      </w:pPr>
      <w:r>
        <w:rPr>
          <w:rFonts w:hint="default"/>
          <w:lang w:val="en-US" w:eastAsia="zh-CN"/>
        </w:rPr>
        <w:t>A. 执行抽盘；</w:t>
      </w:r>
    </w:p>
    <w:p>
      <w:pPr>
        <w:numPr>
          <w:ilvl w:val="0"/>
          <w:numId w:val="0"/>
        </w:numPr>
        <w:ind w:firstLine="210" w:firstLineChars="100"/>
        <w:rPr>
          <w:rFonts w:hint="default"/>
          <w:lang w:val="en-US" w:eastAsia="zh-CN"/>
        </w:rPr>
      </w:pPr>
      <w:r>
        <w:rPr>
          <w:rFonts w:hint="default"/>
          <w:lang w:val="en-US" w:eastAsia="zh-CN"/>
        </w:rPr>
        <w:t>B. 检查存货；</w:t>
      </w:r>
    </w:p>
    <w:p>
      <w:pPr>
        <w:numPr>
          <w:ilvl w:val="0"/>
          <w:numId w:val="0"/>
        </w:numPr>
        <w:ind w:firstLine="210" w:firstLineChars="100"/>
        <w:rPr>
          <w:rFonts w:hint="default"/>
          <w:lang w:val="en-US" w:eastAsia="zh-CN"/>
        </w:rPr>
      </w:pPr>
      <w:r>
        <w:rPr>
          <w:rFonts w:hint="default"/>
          <w:lang w:val="en-US" w:eastAsia="zh-CN"/>
        </w:rPr>
        <w:t>C. 评价管理层用以记录和控制存货盘点结果的指令和程序；</w:t>
      </w:r>
    </w:p>
    <w:p>
      <w:pPr>
        <w:numPr>
          <w:ilvl w:val="0"/>
          <w:numId w:val="0"/>
        </w:numPr>
        <w:ind w:firstLine="210" w:firstLineChars="100"/>
        <w:rPr>
          <w:rFonts w:hint="default"/>
          <w:lang w:val="en-US" w:eastAsia="zh-CN"/>
        </w:rPr>
      </w:pPr>
      <w:r>
        <w:rPr>
          <w:rFonts w:hint="default"/>
          <w:lang w:val="en-US" w:eastAsia="zh-CN"/>
        </w:rPr>
        <w:t>D. 观察管理层制定的盘点程序的执行情况。</w:t>
      </w:r>
    </w:p>
    <w:p>
      <w:pPr>
        <w:widowControl w:val="0"/>
        <w:numPr>
          <w:ilvl w:val="0"/>
          <w:numId w:val="0"/>
        </w:numPr>
        <w:jc w:val="both"/>
        <w:rPr>
          <w:rFonts w:hint="eastAsia"/>
          <w:lang w:val="en-US" w:eastAsia="zh-CN"/>
        </w:rPr>
      </w:pPr>
      <w:r>
        <w:rPr>
          <w:rFonts w:hint="eastAsia" w:ascii="Calibri" w:hAnsi="Calibri" w:eastAsia="宋体" w:cs="Times New Roman"/>
          <w:lang w:val="en-US" w:eastAsia="zh-CN"/>
        </w:rPr>
        <w:t>5.</w:t>
      </w:r>
      <w:r>
        <w:rPr>
          <w:rFonts w:hint="eastAsia"/>
          <w:lang w:val="en-US" w:eastAsia="zh-CN"/>
        </w:rPr>
        <w:t>下列关于关键审计事项的说法中，正确的有（   ）</w:t>
      </w:r>
    </w:p>
    <w:p>
      <w:pPr>
        <w:widowControl w:val="0"/>
        <w:numPr>
          <w:ilvl w:val="0"/>
          <w:numId w:val="0"/>
        </w:numPr>
        <w:ind w:firstLine="210" w:firstLineChars="100"/>
        <w:jc w:val="both"/>
        <w:rPr>
          <w:rFonts w:hint="eastAsia"/>
          <w:lang w:val="en-US" w:eastAsia="zh-CN"/>
        </w:rPr>
      </w:pPr>
      <w:r>
        <w:rPr>
          <w:rFonts w:hint="eastAsia"/>
          <w:lang w:val="en-US" w:eastAsia="zh-CN"/>
        </w:rPr>
        <w:t>A. 除非法律法规另有规定，当对财务报表发表无法表示意见时，注册会计师不得在审计报告中包含关键审计事项部分；</w:t>
      </w:r>
    </w:p>
    <w:p>
      <w:pPr>
        <w:widowControl w:val="0"/>
        <w:numPr>
          <w:ilvl w:val="0"/>
          <w:numId w:val="0"/>
        </w:numPr>
        <w:jc w:val="both"/>
        <w:rPr>
          <w:rFonts w:hint="eastAsia"/>
          <w:lang w:val="en-US" w:eastAsia="zh-CN"/>
        </w:rPr>
      </w:pPr>
      <w:r>
        <w:rPr>
          <w:rFonts w:hint="default" w:ascii="Calibri" w:hAnsi="Calibri" w:eastAsia="宋体" w:cs="Times New Roman"/>
          <w:lang w:val="en-US" w:eastAsia="zh-CN"/>
        </w:rPr>
        <w:t xml:space="preserve"> </w:t>
      </w:r>
      <w:r>
        <w:rPr>
          <w:rFonts w:hint="eastAsia" w:ascii="Calibri" w:hAnsi="Calibri" w:eastAsia="宋体" w:cs="Times New Roman"/>
          <w:lang w:val="en-US" w:eastAsia="zh-CN"/>
        </w:rPr>
        <w:t xml:space="preserve"> </w:t>
      </w:r>
      <w:r>
        <w:rPr>
          <w:rFonts w:hint="eastAsia"/>
          <w:lang w:val="en-US" w:eastAsia="zh-CN"/>
        </w:rPr>
        <w:t>B. 所有的被审计单位的审计报告中都应当增加关键审计事项；</w:t>
      </w:r>
    </w:p>
    <w:p>
      <w:pPr>
        <w:widowControl w:val="0"/>
        <w:numPr>
          <w:ilvl w:val="0"/>
          <w:numId w:val="0"/>
        </w:numPr>
        <w:ind w:firstLine="210" w:firstLineChars="100"/>
        <w:jc w:val="both"/>
        <w:rPr>
          <w:rFonts w:hint="eastAsia"/>
          <w:lang w:val="en-US" w:eastAsia="zh-CN"/>
        </w:rPr>
      </w:pPr>
      <w:r>
        <w:rPr>
          <w:rFonts w:hint="eastAsia"/>
          <w:lang w:val="en-US" w:eastAsia="zh-CN"/>
        </w:rPr>
        <w:t>C. 在描述关键审计事项时，注册会计师需要避免不恰当地提供与被审计单位相关的原始信息；</w:t>
      </w:r>
    </w:p>
    <w:p>
      <w:pPr>
        <w:widowControl w:val="0"/>
        <w:numPr>
          <w:ilvl w:val="0"/>
          <w:numId w:val="0"/>
        </w:numPr>
        <w:ind w:firstLine="210" w:firstLineChars="100"/>
        <w:jc w:val="both"/>
        <w:rPr>
          <w:rFonts w:hint="eastAsia"/>
          <w:lang w:val="en-US" w:eastAsia="zh-CN"/>
        </w:rPr>
      </w:pPr>
      <w:r>
        <w:rPr>
          <w:rFonts w:hint="eastAsia"/>
          <w:lang w:val="en-US" w:eastAsia="zh-CN"/>
        </w:rPr>
        <w:t>D. 关键审计事项的应对以对财务报表整体进行审计并形成审计意见为背景，注册会计师对财务报表整体形成审计意见，而不对关键审计事项单独发表意见。</w:t>
      </w:r>
    </w:p>
    <w:p>
      <w:pPr>
        <w:numPr>
          <w:numId w:val="0"/>
        </w:numPr>
        <w:ind w:leftChars="0"/>
        <w:rPr>
          <w:rFonts w:hint="eastAsia"/>
          <w:b/>
          <w:szCs w:val="21"/>
        </w:rPr>
      </w:pPr>
    </w:p>
    <w:p>
      <w:pPr>
        <w:numPr>
          <w:numId w:val="0"/>
        </w:numPr>
        <w:ind w:leftChars="0"/>
        <w:rPr>
          <w:rFonts w:hint="eastAsia"/>
          <w:b/>
          <w:szCs w:val="21"/>
        </w:rPr>
      </w:pPr>
    </w:p>
    <w:p>
      <w:pPr>
        <w:widowControl w:val="0"/>
        <w:numPr>
          <w:ilvl w:val="0"/>
          <w:numId w:val="0"/>
        </w:numPr>
        <w:jc w:val="both"/>
        <w:rPr>
          <w:rFonts w:hint="eastAsia" w:ascii="Calibri" w:hAnsi="Calibri" w:eastAsia="宋体" w:cs="Times New Roman"/>
          <w:b/>
          <w:bCs/>
          <w:lang w:val="en-US" w:eastAsia="zh-CN"/>
        </w:rPr>
      </w:pPr>
      <w:r>
        <w:rPr>
          <w:rFonts w:hint="eastAsia" w:ascii="Calibri" w:hAnsi="Calibri" w:eastAsia="宋体" w:cs="Times New Roman"/>
          <w:b/>
          <w:bCs/>
          <w:lang w:val="en-US" w:eastAsia="zh-CN"/>
        </w:rPr>
        <w:t>四、简答题（回答要点并简明扼要作解释。第1题6分，第2题5分，第3题6分，共计17分）</w:t>
      </w:r>
    </w:p>
    <w:p>
      <w:pPr>
        <w:widowControl w:val="0"/>
        <w:numPr>
          <w:ilvl w:val="0"/>
          <w:numId w:val="3"/>
        </w:numPr>
        <w:jc w:val="both"/>
        <w:rPr>
          <w:rFonts w:hint="eastAsia"/>
          <w:b w:val="0"/>
          <w:bCs w:val="0"/>
          <w:sz w:val="21"/>
          <w:szCs w:val="21"/>
          <w:lang w:val="en-US" w:eastAsia="zh-CN"/>
        </w:rPr>
      </w:pPr>
      <w:r>
        <w:rPr>
          <w:rFonts w:hint="eastAsia"/>
          <w:b w:val="0"/>
          <w:bCs w:val="0"/>
          <w:sz w:val="21"/>
          <w:szCs w:val="21"/>
          <w:lang w:val="en-US" w:eastAsia="zh-CN"/>
        </w:rPr>
        <w:t>财务报表审计的定义和注册会计师审计要素。</w:t>
      </w: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3"/>
        </w:numPr>
        <w:jc w:val="both"/>
        <w:rPr>
          <w:rFonts w:hint="eastAsia"/>
          <w:b w:val="0"/>
          <w:bCs w:val="0"/>
          <w:sz w:val="21"/>
          <w:szCs w:val="21"/>
          <w:lang w:val="en-US" w:eastAsia="zh-CN"/>
        </w:rPr>
      </w:pPr>
      <w:r>
        <w:rPr>
          <w:rFonts w:hint="eastAsia"/>
          <w:b w:val="0"/>
          <w:bCs w:val="0"/>
          <w:sz w:val="21"/>
          <w:szCs w:val="21"/>
          <w:lang w:val="en-US" w:eastAsia="zh-CN"/>
        </w:rPr>
        <w:t>针对财务报表层次重大错报风险采取何种应对措施？</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ascii="Calibri" w:hAnsi="Calibri" w:eastAsia="宋体" w:cs="Times New Roman"/>
          <w:lang w:val="en-US" w:eastAsia="zh-CN"/>
        </w:rPr>
      </w:pPr>
    </w:p>
    <w:p>
      <w:pPr>
        <w:widowControl w:val="0"/>
        <w:numPr>
          <w:ilvl w:val="0"/>
          <w:numId w:val="0"/>
        </w:numPr>
        <w:jc w:val="both"/>
        <w:rPr>
          <w:rFonts w:hint="eastAsia" w:ascii="Calibri" w:hAnsi="Calibri" w:eastAsia="宋体" w:cs="Times New Roman"/>
          <w:lang w:val="en-US" w:eastAsia="zh-CN"/>
        </w:rPr>
      </w:pPr>
    </w:p>
    <w:p>
      <w:pPr>
        <w:widowControl w:val="0"/>
        <w:numPr>
          <w:ilvl w:val="0"/>
          <w:numId w:val="0"/>
        </w:numPr>
        <w:jc w:val="both"/>
        <w:rPr>
          <w:rFonts w:hint="default" w:ascii="Calibri" w:hAnsi="Calibri" w:eastAsia="宋体" w:cs="Times New Roman"/>
          <w:lang w:val="en-US" w:eastAsia="zh-CN"/>
        </w:rPr>
      </w:pPr>
    </w:p>
    <w:p>
      <w:pPr>
        <w:widowControl w:val="0"/>
        <w:numPr>
          <w:ilvl w:val="0"/>
          <w:numId w:val="0"/>
        </w:numPr>
        <w:jc w:val="both"/>
        <w:rPr>
          <w:rFonts w:hint="default" w:ascii="Calibri" w:hAnsi="Calibri" w:eastAsia="宋体" w:cs="Times New Roman"/>
          <w:lang w:val="en-US" w:eastAsia="zh-CN"/>
        </w:rPr>
      </w:pPr>
    </w:p>
    <w:p>
      <w:pPr>
        <w:spacing w:line="420" w:lineRule="exact"/>
        <w:rPr>
          <w:rFonts w:hint="eastAsia" w:cs="宋体"/>
          <w:b/>
          <w:color w:val="000000"/>
          <w:sz w:val="24"/>
        </w:rPr>
      </w:pPr>
    </w:p>
    <w:p>
      <w:pPr>
        <w:rPr>
          <w:color w:val="000000"/>
        </w:rPr>
      </w:pPr>
    </w:p>
    <w:p>
      <w:pPr>
        <w:numPr>
          <w:ilvl w:val="0"/>
          <w:numId w:val="0"/>
        </w:numPr>
        <w:ind w:leftChars="0"/>
        <w:rPr>
          <w:rFonts w:hint="eastAsia"/>
          <w:lang w:val="en-US" w:eastAsia="zh-CN"/>
        </w:rPr>
      </w:pPr>
      <w:r>
        <w:rPr>
          <w:rFonts w:hint="eastAsia" w:ascii="宋体" w:hAnsi="宋体"/>
          <w:szCs w:val="21"/>
        </w:rPr>
        <w:t xml:space="preserve"> </w:t>
      </w:r>
      <w:r>
        <w:rPr>
          <w:rFonts w:hint="eastAsia"/>
          <w:lang w:val="en-US" w:eastAsia="zh-CN"/>
        </w:rPr>
        <w:t>3、注册会计师王强对某公司的应付账款项目进行审计，根据需要，王强决定对一下四个明细账户中的哪两个账户进行函证？资料如表所示：</w:t>
      </w:r>
    </w:p>
    <w:tbl>
      <w:tblPr>
        <w:tblStyle w:val="4"/>
        <w:tblpPr w:leftFromText="180" w:rightFromText="180" w:vertAnchor="text" w:horzAnchor="page" w:tblpX="1644" w:tblpY="204"/>
        <w:tblOverlap w:val="never"/>
        <w:tblW w:w="8990"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77"/>
        <w:gridCol w:w="2882"/>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2777"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明细账户</w:t>
            </w:r>
          </w:p>
        </w:tc>
        <w:tc>
          <w:tcPr>
            <w:tcW w:w="2882"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应付账款余额</w:t>
            </w:r>
          </w:p>
        </w:tc>
        <w:tc>
          <w:tcPr>
            <w:tcW w:w="3331"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本年进货总额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9" w:hRule="atLeast"/>
          <w:tblCellSpacing w:w="0" w:type="dxa"/>
        </w:trPr>
        <w:tc>
          <w:tcPr>
            <w:tcW w:w="2777"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A公司</w:t>
            </w:r>
          </w:p>
        </w:tc>
        <w:tc>
          <w:tcPr>
            <w:tcW w:w="2882"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43 650 </w:t>
            </w:r>
          </w:p>
        </w:tc>
        <w:tc>
          <w:tcPr>
            <w:tcW w:w="3331"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67 100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8" w:hRule="atLeast"/>
          <w:tblCellSpacing w:w="0" w:type="dxa"/>
        </w:trPr>
        <w:tc>
          <w:tcPr>
            <w:tcW w:w="2777"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B公司</w:t>
            </w:r>
          </w:p>
        </w:tc>
        <w:tc>
          <w:tcPr>
            <w:tcW w:w="2882"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88 000</w:t>
            </w:r>
          </w:p>
        </w:tc>
        <w:tc>
          <w:tcPr>
            <w:tcW w:w="3331"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96 000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9" w:hRule="atLeast"/>
          <w:tblCellSpacing w:w="0" w:type="dxa"/>
        </w:trPr>
        <w:tc>
          <w:tcPr>
            <w:tcW w:w="2777"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C公司</w:t>
            </w:r>
          </w:p>
        </w:tc>
        <w:tc>
          <w:tcPr>
            <w:tcW w:w="2882"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p>
        </w:tc>
        <w:tc>
          <w:tcPr>
            <w:tcW w:w="3331"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1 990 000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8" w:hRule="atLeast"/>
          <w:tblCellSpacing w:w="0" w:type="dxa"/>
        </w:trPr>
        <w:tc>
          <w:tcPr>
            <w:tcW w:w="2777"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D公司</w:t>
            </w:r>
          </w:p>
        </w:tc>
        <w:tc>
          <w:tcPr>
            <w:tcW w:w="2882"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299 000</w:t>
            </w:r>
          </w:p>
        </w:tc>
        <w:tc>
          <w:tcPr>
            <w:tcW w:w="3331" w:type="dxa"/>
            <w:tcBorders>
              <w:top w:val="single" w:color="000000" w:sz="4" w:space="0"/>
              <w:left w:val="single" w:color="000000" w:sz="4" w:space="0"/>
              <w:bottom w:val="single" w:color="000000" w:sz="4" w:space="0"/>
              <w:right w:val="single" w:color="000000" w:sz="4" w:space="0"/>
            </w:tcBorders>
            <w:noWrap w:val="0"/>
            <w:tcMar>
              <w:top w:w="72" w:type="dxa"/>
              <w:left w:w="144" w:type="dxa"/>
              <w:bottom w:w="72" w:type="dxa"/>
              <w:right w:w="144" w:type="dxa"/>
            </w:tcMar>
            <w:vAlign w:val="top"/>
          </w:tcPr>
          <w:p>
            <w:pPr>
              <w:pStyle w:val="3"/>
              <w:keepNext w:val="0"/>
              <w:keepLines w:val="0"/>
              <w:pageBreakBefore w:val="0"/>
              <w:widowControl/>
              <w:suppressLineNumbers w:val="0"/>
              <w:kinsoku/>
              <w:wordWrap/>
              <w:overflowPunct/>
              <w:topLinePunct w:val="0"/>
              <w:autoSpaceDE/>
              <w:autoSpaceDN/>
              <w:bidi w:val="0"/>
              <w:adjustRightInd/>
              <w:snapToGrid/>
              <w:textAlignment w:val="auto"/>
              <w:rPr>
                <w:rFonts w:hint="eastAsia" w:ascii="宋体" w:hAnsi="宋体" w:eastAsia="宋体" w:cs="宋体"/>
                <w:b w:val="0"/>
                <w:bCs w:val="0"/>
                <w:sz w:val="20"/>
                <w:szCs w:val="20"/>
              </w:rPr>
            </w:pPr>
            <w:r>
              <w:rPr>
                <w:rFonts w:hint="eastAsia" w:ascii="宋体" w:hAnsi="宋体" w:eastAsia="宋体" w:cs="宋体"/>
                <w:b w:val="0"/>
                <w:bCs w:val="0"/>
                <w:color w:val="000000"/>
                <w:sz w:val="20"/>
                <w:szCs w:val="20"/>
              </w:rPr>
              <w:t>3 132 000</w:t>
            </w:r>
          </w:p>
        </w:tc>
      </w:tr>
    </w:tbl>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default"/>
          <w:b w:val="0"/>
          <w:bCs w:val="0"/>
          <w:lang w:val="en-US" w:eastAsia="zh-CN"/>
        </w:rPr>
      </w:pPr>
      <w:r>
        <w:rPr>
          <w:rFonts w:hint="eastAsia"/>
          <w:b w:val="0"/>
          <w:bCs w:val="0"/>
          <w:lang w:val="en-US" w:eastAsia="zh-CN"/>
        </w:rPr>
        <w:t>（1）</w:t>
      </w:r>
      <w:r>
        <w:rPr>
          <w:rFonts w:hint="default"/>
          <w:b w:val="0"/>
          <w:bCs w:val="0"/>
          <w:lang w:val="en-US" w:eastAsia="zh-CN"/>
        </w:rPr>
        <w:t>王强应选择哪两位供货人进行函证？为什么？</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default"/>
          <w:b w:val="0"/>
          <w:bCs w:val="0"/>
          <w:lang w:val="en-US" w:eastAsia="zh-CN"/>
        </w:rPr>
      </w:pPr>
      <w:r>
        <w:rPr>
          <w:rFonts w:hint="eastAsia"/>
          <w:b w:val="0"/>
          <w:bCs w:val="0"/>
          <w:lang w:val="en-US" w:eastAsia="zh-CN"/>
        </w:rPr>
        <w:t>（2）</w:t>
      </w:r>
      <w:r>
        <w:rPr>
          <w:rFonts w:hint="default"/>
          <w:b w:val="0"/>
          <w:bCs w:val="0"/>
          <w:lang w:val="en-US" w:eastAsia="zh-CN"/>
        </w:rPr>
        <w:t>假定上述四个公司均为该公司的购货人，上表后两栏分别是应收账款年末余额和本年的销货总额，王强应该选择哪两家公司进行函证？为什么？</w:t>
      </w:r>
    </w:p>
    <w:p>
      <w:pPr>
        <w:spacing w:line="420" w:lineRule="exact"/>
        <w:rPr>
          <w:rFonts w:hint="eastAsia" w:ascii="宋体" w:hAnsi="宋体"/>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numId w:val="0"/>
        </w:numPr>
        <w:ind w:leftChars="0"/>
        <w:rPr>
          <w:rFonts w:hint="eastAsia"/>
          <w:b/>
          <w:szCs w:val="21"/>
        </w:rPr>
      </w:pPr>
    </w:p>
    <w:p>
      <w:pPr>
        <w:numPr>
          <w:ilvl w:val="0"/>
          <w:numId w:val="4"/>
        </w:numPr>
        <w:spacing w:line="420" w:lineRule="exact"/>
        <w:rPr>
          <w:rFonts w:hint="eastAsia"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分析填空题（共10分，共1题）</w:t>
      </w:r>
    </w:p>
    <w:p>
      <w:pPr>
        <w:numPr>
          <w:ilvl w:val="0"/>
          <w:numId w:val="0"/>
        </w:numPr>
        <w:rPr>
          <w:rFonts w:hint="eastAsia"/>
          <w:b w:val="0"/>
          <w:bCs w:val="0"/>
          <w:lang w:val="en-US" w:eastAsia="zh-CN"/>
        </w:rPr>
      </w:pPr>
      <w:r>
        <w:rPr>
          <w:rFonts w:hint="eastAsia"/>
          <w:b w:val="0"/>
          <w:bCs w:val="0"/>
          <w:lang w:val="en-US" w:eastAsia="zh-CN"/>
        </w:rPr>
        <w:t>注册会计师通常依据各类交易、账户余额和披露的相关认定确定审计目标，根据审计目标设计审计程序，下面列示了采购和付款交易循环的审计目标，并列举了部分实质性程序。</w:t>
      </w:r>
    </w:p>
    <w:p>
      <w:pPr>
        <w:numPr>
          <w:ilvl w:val="0"/>
          <w:numId w:val="5"/>
        </w:numPr>
        <w:ind w:left="315" w:leftChars="0" w:firstLine="0" w:firstLineChars="0"/>
        <w:rPr>
          <w:rFonts w:hint="eastAsia"/>
          <w:b w:val="0"/>
          <w:bCs w:val="0"/>
          <w:lang w:val="en-US" w:eastAsia="zh-CN"/>
        </w:rPr>
      </w:pPr>
      <w:r>
        <w:rPr>
          <w:rFonts w:hint="eastAsia"/>
          <w:b w:val="0"/>
          <w:bCs w:val="0"/>
          <w:lang w:val="en-US" w:eastAsia="zh-CN"/>
        </w:rPr>
        <w:t>审计目标</w:t>
      </w:r>
    </w:p>
    <w:p>
      <w:pPr>
        <w:numPr>
          <w:ilvl w:val="0"/>
          <w:numId w:val="6"/>
        </w:numPr>
        <w:ind w:firstLine="420" w:firstLineChars="200"/>
        <w:rPr>
          <w:rFonts w:hint="default"/>
          <w:b w:val="0"/>
          <w:bCs w:val="0"/>
          <w:lang w:val="en-US" w:eastAsia="zh-CN"/>
        </w:rPr>
      </w:pPr>
      <w:r>
        <w:rPr>
          <w:rFonts w:hint="eastAsia"/>
          <w:b w:val="0"/>
          <w:bCs w:val="0"/>
          <w:lang w:val="en-US" w:eastAsia="zh-CN"/>
        </w:rPr>
        <w:t>确定所记录的采购交易是否已发生，且与被审计单位有关。</w:t>
      </w:r>
    </w:p>
    <w:p>
      <w:pPr>
        <w:numPr>
          <w:ilvl w:val="0"/>
          <w:numId w:val="0"/>
        </w:numPr>
        <w:ind w:firstLine="420" w:firstLineChars="200"/>
        <w:rPr>
          <w:rFonts w:hint="default"/>
          <w:b w:val="0"/>
          <w:bCs w:val="0"/>
          <w:lang w:val="en-US" w:eastAsia="zh-CN"/>
        </w:rPr>
      </w:pPr>
      <w:r>
        <w:rPr>
          <w:rFonts w:hint="eastAsia"/>
          <w:b w:val="0"/>
          <w:bCs w:val="0"/>
          <w:lang w:val="en-US" w:eastAsia="zh-CN"/>
        </w:rPr>
        <w:t>B. 确定所有应当记录的采购交易是否均已记录。</w:t>
      </w:r>
    </w:p>
    <w:p>
      <w:pPr>
        <w:numPr>
          <w:ilvl w:val="0"/>
          <w:numId w:val="0"/>
        </w:numPr>
        <w:ind w:firstLine="420" w:firstLineChars="200"/>
        <w:rPr>
          <w:rFonts w:hint="default"/>
          <w:b w:val="0"/>
          <w:bCs w:val="0"/>
          <w:lang w:val="en-US" w:eastAsia="zh-CN"/>
        </w:rPr>
      </w:pPr>
      <w:r>
        <w:rPr>
          <w:rFonts w:hint="eastAsia"/>
          <w:b w:val="0"/>
          <w:bCs w:val="0"/>
          <w:lang w:val="en-US" w:eastAsia="zh-CN"/>
        </w:rPr>
        <w:t>C. 确定采购交易是否已记录于恰当的账户。</w:t>
      </w:r>
    </w:p>
    <w:p>
      <w:pPr>
        <w:numPr>
          <w:ilvl w:val="0"/>
          <w:numId w:val="0"/>
        </w:numPr>
        <w:ind w:firstLine="420" w:firstLineChars="200"/>
        <w:rPr>
          <w:rFonts w:hint="default"/>
          <w:b w:val="0"/>
          <w:bCs w:val="0"/>
          <w:lang w:val="en-US" w:eastAsia="zh-CN"/>
        </w:rPr>
      </w:pPr>
      <w:r>
        <w:rPr>
          <w:rFonts w:hint="eastAsia"/>
          <w:b w:val="0"/>
          <w:bCs w:val="0"/>
          <w:lang w:val="en-US" w:eastAsia="zh-CN"/>
        </w:rPr>
        <w:t>D. 确定与采购交易有关的金额及其他数据是否已恰当记录。</w:t>
      </w:r>
    </w:p>
    <w:p>
      <w:pPr>
        <w:numPr>
          <w:ilvl w:val="0"/>
          <w:numId w:val="0"/>
        </w:numPr>
        <w:ind w:firstLine="420" w:firstLineChars="200"/>
        <w:rPr>
          <w:rFonts w:hint="default"/>
          <w:b w:val="0"/>
          <w:bCs w:val="0"/>
          <w:lang w:val="en-US" w:eastAsia="zh-CN"/>
        </w:rPr>
      </w:pPr>
      <w:r>
        <w:rPr>
          <w:rFonts w:hint="eastAsia"/>
          <w:b w:val="0"/>
          <w:bCs w:val="0"/>
          <w:lang w:val="en-US" w:eastAsia="zh-CN"/>
        </w:rPr>
        <w:t>E. 确定采购交易是否已记录于正确的会计期间。</w:t>
      </w:r>
    </w:p>
    <w:p>
      <w:pPr>
        <w:numPr>
          <w:ilvl w:val="0"/>
          <w:numId w:val="5"/>
        </w:numPr>
        <w:ind w:left="315" w:leftChars="0" w:firstLine="0" w:firstLineChars="0"/>
        <w:rPr>
          <w:rFonts w:hint="eastAsia"/>
          <w:b w:val="0"/>
          <w:bCs w:val="0"/>
          <w:lang w:val="en-US" w:eastAsia="zh-CN"/>
        </w:rPr>
      </w:pPr>
      <w:r>
        <w:rPr>
          <w:rFonts w:hint="eastAsia"/>
          <w:b w:val="0"/>
          <w:bCs w:val="0"/>
          <w:lang w:val="en-US" w:eastAsia="zh-CN"/>
        </w:rPr>
        <w:t>实质性程序</w:t>
      </w:r>
    </w:p>
    <w:p>
      <w:pPr>
        <w:numPr>
          <w:ilvl w:val="0"/>
          <w:numId w:val="0"/>
        </w:numPr>
        <w:ind w:left="315" w:leftChars="0"/>
        <w:rPr>
          <w:rFonts w:hint="default"/>
          <w:b w:val="0"/>
          <w:bCs w:val="0"/>
          <w:lang w:val="en-US" w:eastAsia="zh-CN"/>
        </w:rPr>
      </w:pPr>
      <w:r>
        <w:rPr>
          <w:rFonts w:hint="eastAsia"/>
          <w:b w:val="0"/>
          <w:bCs w:val="0"/>
          <w:lang w:val="en-US" w:eastAsia="zh-CN"/>
        </w:rPr>
        <w:t>F. 将采购明细账中记录的交易同购货发票、验收单和其他证明文件比较。</w:t>
      </w:r>
    </w:p>
    <w:p>
      <w:pPr>
        <w:numPr>
          <w:ilvl w:val="0"/>
          <w:numId w:val="0"/>
        </w:numPr>
        <w:ind w:left="315" w:leftChars="0"/>
        <w:rPr>
          <w:rFonts w:hint="default"/>
          <w:b w:val="0"/>
          <w:bCs w:val="0"/>
          <w:lang w:val="en-US" w:eastAsia="zh-CN"/>
        </w:rPr>
      </w:pPr>
      <w:r>
        <w:rPr>
          <w:rFonts w:hint="eastAsia"/>
          <w:b w:val="0"/>
          <w:bCs w:val="0"/>
          <w:lang w:val="en-US" w:eastAsia="zh-CN"/>
        </w:rPr>
        <w:t>G. 从购货发票追查至采购明细账。</w:t>
      </w:r>
    </w:p>
    <w:p>
      <w:pPr>
        <w:numPr>
          <w:ilvl w:val="0"/>
          <w:numId w:val="0"/>
        </w:numPr>
        <w:ind w:left="315" w:leftChars="0"/>
        <w:rPr>
          <w:rFonts w:hint="default"/>
          <w:b w:val="0"/>
          <w:bCs w:val="0"/>
          <w:lang w:val="en-US" w:eastAsia="zh-CN"/>
        </w:rPr>
      </w:pPr>
      <w:r>
        <w:rPr>
          <w:rFonts w:hint="eastAsia"/>
          <w:b w:val="0"/>
          <w:bCs w:val="0"/>
          <w:lang w:val="en-US" w:eastAsia="zh-CN"/>
        </w:rPr>
        <w:t>H. 根据购货发票反映的内容，比较会计科目表上的分类。</w:t>
      </w:r>
    </w:p>
    <w:p>
      <w:pPr>
        <w:numPr>
          <w:ilvl w:val="0"/>
          <w:numId w:val="0"/>
        </w:numPr>
        <w:ind w:left="315" w:leftChars="0"/>
        <w:rPr>
          <w:rFonts w:hint="default"/>
          <w:b w:val="0"/>
          <w:bCs w:val="0"/>
          <w:lang w:val="en-US" w:eastAsia="zh-CN"/>
        </w:rPr>
      </w:pPr>
      <w:r>
        <w:rPr>
          <w:rFonts w:hint="eastAsia"/>
          <w:b w:val="0"/>
          <w:bCs w:val="0"/>
          <w:lang w:val="en-US" w:eastAsia="zh-CN"/>
        </w:rPr>
        <w:t>I. 从验收单追查至采购明细账。</w:t>
      </w:r>
    </w:p>
    <w:p>
      <w:pPr>
        <w:numPr>
          <w:ilvl w:val="0"/>
          <w:numId w:val="0"/>
        </w:numPr>
        <w:ind w:left="315" w:leftChars="0"/>
        <w:rPr>
          <w:rFonts w:hint="default"/>
          <w:b w:val="0"/>
          <w:bCs w:val="0"/>
          <w:lang w:val="en-US" w:eastAsia="zh-CN"/>
        </w:rPr>
      </w:pPr>
      <w:r>
        <w:rPr>
          <w:rFonts w:hint="eastAsia"/>
          <w:b w:val="0"/>
          <w:bCs w:val="0"/>
          <w:lang w:val="en-US" w:eastAsia="zh-CN"/>
        </w:rPr>
        <w:t>J. 检查购货发票、验收单、订货单和请购单的合理性和真实性。</w:t>
      </w:r>
    </w:p>
    <w:p>
      <w:pPr>
        <w:numPr>
          <w:ilvl w:val="0"/>
          <w:numId w:val="0"/>
        </w:numPr>
        <w:ind w:left="315" w:leftChars="0"/>
        <w:rPr>
          <w:rFonts w:hint="default"/>
          <w:b w:val="0"/>
          <w:bCs w:val="0"/>
          <w:lang w:val="en-US" w:eastAsia="zh-CN"/>
        </w:rPr>
      </w:pPr>
      <w:r>
        <w:rPr>
          <w:rFonts w:hint="eastAsia"/>
          <w:b w:val="0"/>
          <w:bCs w:val="0"/>
          <w:lang w:val="en-US" w:eastAsia="zh-CN"/>
        </w:rPr>
        <w:t>K. 将验收单和购货发票上的日期与采购明细账中的日期进行比较。</w:t>
      </w:r>
    </w:p>
    <w:p>
      <w:pPr>
        <w:numPr>
          <w:ilvl w:val="0"/>
          <w:numId w:val="0"/>
        </w:numPr>
        <w:ind w:left="315" w:leftChars="0"/>
        <w:rPr>
          <w:rFonts w:hint="eastAsia"/>
          <w:b/>
          <w:bCs/>
          <w:lang w:val="en-US" w:eastAsia="zh-CN"/>
        </w:rPr>
      </w:pPr>
      <w:r>
        <w:rPr>
          <w:rFonts w:hint="eastAsia"/>
          <w:b w:val="0"/>
          <w:bCs w:val="0"/>
          <w:lang w:val="en-US" w:eastAsia="zh-CN"/>
        </w:rPr>
        <w:t>L. 从存货的采购追查至存货永续盘存记录。</w:t>
      </w:r>
    </w:p>
    <w:p>
      <w:pPr>
        <w:pStyle w:val="3"/>
        <w:spacing w:before="0" w:beforeAutospacing="0" w:after="0" w:afterAutospacing="0" w:line="160" w:lineRule="exact"/>
        <w:rPr>
          <w:rFonts w:ascii="华文细黑" w:hAnsi="华文细黑" w:eastAsia="华文细黑"/>
          <w:kern w:val="2"/>
        </w:rPr>
      </w:pPr>
    </w:p>
    <w:p>
      <w:pPr>
        <w:pStyle w:val="3"/>
        <w:keepNext w:val="0"/>
        <w:keepLines w:val="0"/>
        <w:pageBreakBefore w:val="0"/>
        <w:widowControl/>
        <w:kinsoku/>
        <w:wordWrap/>
        <w:overflowPunct/>
        <w:topLinePunct w:val="0"/>
        <w:autoSpaceDE/>
        <w:autoSpaceDN/>
        <w:bidi w:val="0"/>
        <w:adjustRightInd w:val="0"/>
        <w:snapToGrid w:val="0"/>
        <w:spacing w:before="0" w:beforeAutospacing="0" w:after="0" w:afterAutospacing="0" w:line="288" w:lineRule="auto"/>
        <w:textAlignment w:val="auto"/>
        <w:rPr>
          <w:rFonts w:ascii="华文细黑" w:hAnsi="华文细黑" w:eastAsia="华文细黑"/>
          <w:kern w:val="2"/>
          <w:sz w:val="21"/>
          <w:szCs w:val="21"/>
        </w:rPr>
      </w:pPr>
      <w:r>
        <w:rPr>
          <w:rFonts w:hint="eastAsia"/>
          <w:b/>
          <w:bCs/>
          <w:sz w:val="21"/>
          <w:szCs w:val="21"/>
          <w:lang w:val="en-US" w:eastAsia="zh-CN"/>
        </w:rPr>
        <w:t>要求：请根据题中给出的审计目标，指出对应的相关认定；针对每一个审计目标，选择相应的实质性程序（一项实质性程序可能对应一项或多项审计目标，每一个审计目标可能选择选择一项或多项实质性程序）。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2556"/>
        <w:gridCol w:w="2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lang w:val="en-US" w:eastAsia="zh-CN"/>
              </w:rPr>
              <w:t xml:space="preserve"> </w:t>
            </w:r>
            <w:r>
              <w:rPr>
                <w:rFonts w:hint="eastAsia"/>
                <w:b w:val="0"/>
                <w:bCs w:val="0"/>
                <w:vertAlign w:val="baseline"/>
                <w:lang w:val="en-US" w:eastAsia="zh-CN"/>
              </w:rPr>
              <w:t>相关认定</w:t>
            </w:r>
          </w:p>
        </w:tc>
        <w:tc>
          <w:tcPr>
            <w:tcW w:w="2556" w:type="dxa"/>
            <w:noWrap w:val="0"/>
            <w:vAlign w:val="top"/>
          </w:tcPr>
          <w:p>
            <w:pPr>
              <w:numPr>
                <w:ilvl w:val="0"/>
                <w:numId w:val="0"/>
              </w:numPr>
              <w:ind w:firstLine="210" w:firstLineChars="100"/>
              <w:rPr>
                <w:rFonts w:hint="default"/>
                <w:b w:val="0"/>
                <w:bCs w:val="0"/>
                <w:vertAlign w:val="baseline"/>
                <w:lang w:val="en-US" w:eastAsia="zh-CN"/>
              </w:rPr>
            </w:pPr>
            <w:r>
              <w:rPr>
                <w:rFonts w:hint="eastAsia"/>
                <w:b w:val="0"/>
                <w:bCs w:val="0"/>
                <w:vertAlign w:val="baseline"/>
                <w:lang w:val="en-US" w:eastAsia="zh-CN"/>
              </w:rPr>
              <w:t>审计目标</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实质性程序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发生</w:t>
            </w:r>
          </w:p>
        </w:tc>
        <w:tc>
          <w:tcPr>
            <w:tcW w:w="2556" w:type="dxa"/>
            <w:noWrap w:val="0"/>
            <w:vAlign w:val="top"/>
          </w:tcPr>
          <w:p>
            <w:pPr>
              <w:numPr>
                <w:ilvl w:val="0"/>
                <w:numId w:val="0"/>
              </w:numPr>
              <w:rPr>
                <w:rFonts w:hint="default"/>
                <w:b w:val="0"/>
                <w:bCs w:val="0"/>
                <w:vertAlign w:val="baseline"/>
                <w:lang w:val="en-US" w:eastAsia="zh-CN"/>
              </w:rPr>
            </w:pPr>
          </w:p>
        </w:tc>
        <w:tc>
          <w:tcPr>
            <w:tcW w:w="2534" w:type="dxa"/>
            <w:noWrap w:val="0"/>
            <w:vAlign w:val="top"/>
          </w:tcPr>
          <w:p>
            <w:pPr>
              <w:numPr>
                <w:ilvl w:val="0"/>
                <w:numId w:val="0"/>
              </w:numPr>
              <w:rPr>
                <w:rFonts w:hint="default"/>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完整性</w:t>
            </w:r>
          </w:p>
        </w:tc>
        <w:tc>
          <w:tcPr>
            <w:tcW w:w="2556" w:type="dxa"/>
            <w:noWrap w:val="0"/>
            <w:vAlign w:val="top"/>
          </w:tcPr>
          <w:p>
            <w:pPr>
              <w:numPr>
                <w:ilvl w:val="0"/>
                <w:numId w:val="0"/>
              </w:numPr>
              <w:rPr>
                <w:rFonts w:hint="default"/>
                <w:b w:val="0"/>
                <w:bCs w:val="0"/>
                <w:vertAlign w:val="baseline"/>
                <w:lang w:val="en-US" w:eastAsia="zh-CN"/>
              </w:rPr>
            </w:pPr>
          </w:p>
        </w:tc>
        <w:tc>
          <w:tcPr>
            <w:tcW w:w="2534" w:type="dxa"/>
            <w:noWrap w:val="0"/>
            <w:vAlign w:val="top"/>
          </w:tcPr>
          <w:p>
            <w:pPr>
              <w:numPr>
                <w:ilvl w:val="0"/>
                <w:numId w:val="0"/>
              </w:numPr>
              <w:rPr>
                <w:rFonts w:hint="default"/>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准确性</w:t>
            </w:r>
          </w:p>
        </w:tc>
        <w:tc>
          <w:tcPr>
            <w:tcW w:w="2556" w:type="dxa"/>
            <w:noWrap w:val="0"/>
            <w:vAlign w:val="top"/>
          </w:tcPr>
          <w:p>
            <w:pPr>
              <w:numPr>
                <w:ilvl w:val="0"/>
                <w:numId w:val="0"/>
              </w:numPr>
              <w:rPr>
                <w:rFonts w:hint="default"/>
                <w:b w:val="0"/>
                <w:bCs w:val="0"/>
                <w:vertAlign w:val="baseline"/>
                <w:lang w:val="en-US" w:eastAsia="zh-CN"/>
              </w:rPr>
            </w:pPr>
          </w:p>
        </w:tc>
        <w:tc>
          <w:tcPr>
            <w:tcW w:w="2534" w:type="dxa"/>
            <w:noWrap w:val="0"/>
            <w:vAlign w:val="top"/>
          </w:tcPr>
          <w:p>
            <w:pPr>
              <w:numPr>
                <w:ilvl w:val="0"/>
                <w:numId w:val="0"/>
              </w:numPr>
              <w:rPr>
                <w:rFonts w:hint="default"/>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分类</w:t>
            </w:r>
          </w:p>
        </w:tc>
        <w:tc>
          <w:tcPr>
            <w:tcW w:w="2556" w:type="dxa"/>
            <w:noWrap w:val="0"/>
            <w:vAlign w:val="top"/>
          </w:tcPr>
          <w:p>
            <w:pPr>
              <w:numPr>
                <w:ilvl w:val="0"/>
                <w:numId w:val="0"/>
              </w:numPr>
              <w:rPr>
                <w:rFonts w:hint="default"/>
                <w:b w:val="0"/>
                <w:bCs w:val="0"/>
                <w:vertAlign w:val="baseline"/>
                <w:lang w:val="en-US" w:eastAsia="zh-CN"/>
              </w:rPr>
            </w:pPr>
          </w:p>
        </w:tc>
        <w:tc>
          <w:tcPr>
            <w:tcW w:w="2534" w:type="dxa"/>
            <w:noWrap w:val="0"/>
            <w:vAlign w:val="top"/>
          </w:tcPr>
          <w:p>
            <w:pPr>
              <w:numPr>
                <w:ilvl w:val="0"/>
                <w:numId w:val="0"/>
              </w:numPr>
              <w:rPr>
                <w:rFonts w:hint="default"/>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截止</w:t>
            </w:r>
          </w:p>
        </w:tc>
        <w:tc>
          <w:tcPr>
            <w:tcW w:w="2556" w:type="dxa"/>
            <w:noWrap w:val="0"/>
            <w:vAlign w:val="top"/>
          </w:tcPr>
          <w:p>
            <w:pPr>
              <w:numPr>
                <w:ilvl w:val="0"/>
                <w:numId w:val="0"/>
              </w:numPr>
              <w:rPr>
                <w:rFonts w:hint="default"/>
                <w:b w:val="0"/>
                <w:bCs w:val="0"/>
                <w:vertAlign w:val="baseline"/>
                <w:lang w:val="en-US" w:eastAsia="zh-CN"/>
              </w:rPr>
            </w:pPr>
          </w:p>
        </w:tc>
        <w:tc>
          <w:tcPr>
            <w:tcW w:w="2534" w:type="dxa"/>
            <w:noWrap w:val="0"/>
            <w:vAlign w:val="top"/>
          </w:tcPr>
          <w:p>
            <w:pPr>
              <w:numPr>
                <w:ilvl w:val="0"/>
                <w:numId w:val="0"/>
              </w:numPr>
              <w:rPr>
                <w:rFonts w:hint="default"/>
                <w:b w:val="0"/>
                <w:bCs w:val="0"/>
                <w:vertAlign w:val="baseline"/>
                <w:lang w:val="en-US" w:eastAsia="zh-CN"/>
              </w:rPr>
            </w:pPr>
          </w:p>
        </w:tc>
      </w:tr>
    </w:tbl>
    <w:p>
      <w:pPr>
        <w:numPr>
          <w:numId w:val="0"/>
        </w:numPr>
        <w:ind w:leftChars="0"/>
        <w:rPr>
          <w:rFonts w:hint="eastAsia"/>
          <w:b/>
          <w:szCs w:val="21"/>
        </w:rPr>
      </w:pPr>
    </w:p>
    <w:p>
      <w:pPr>
        <w:numPr>
          <w:numId w:val="0"/>
        </w:numPr>
        <w:ind w:leftChars="0"/>
        <w:rPr>
          <w:rFonts w:hint="eastAsia"/>
          <w:b/>
          <w:szCs w:val="21"/>
        </w:rPr>
      </w:pPr>
    </w:p>
    <w:p>
      <w:pPr>
        <w:numPr>
          <w:ilvl w:val="0"/>
          <w:numId w:val="4"/>
        </w:numPr>
        <w:tabs>
          <w:tab w:val="left" w:pos="5670"/>
        </w:tabs>
        <w:ind w:left="0" w:leftChars="0" w:firstLine="0" w:firstLineChars="0"/>
        <w:rPr>
          <w:rFonts w:hint="eastAsia" w:ascii="Calibri" w:hAnsi="Calibri" w:eastAsia="宋体" w:cs="宋体"/>
          <w:b/>
          <w:color w:val="000000"/>
          <w:szCs w:val="21"/>
        </w:rPr>
      </w:pPr>
      <w:r>
        <w:rPr>
          <w:rFonts w:hint="eastAsia" w:cs="宋体"/>
          <w:b/>
          <w:color w:val="000000"/>
          <w:szCs w:val="21"/>
          <w:lang w:val="en-US" w:eastAsia="zh-CN"/>
        </w:rPr>
        <w:t>案例分析题</w:t>
      </w:r>
      <w:r>
        <w:rPr>
          <w:rFonts w:hint="eastAsia" w:cs="宋体"/>
          <w:b/>
          <w:color w:val="000000"/>
          <w:szCs w:val="21"/>
        </w:rPr>
        <w:t>（本大题</w:t>
      </w:r>
      <w:r>
        <w:rPr>
          <w:rFonts w:hint="eastAsia" w:ascii="宋体" w:hAnsi="宋体"/>
          <w:b/>
          <w:color w:val="000000"/>
          <w:szCs w:val="21"/>
        </w:rPr>
        <w:t>共</w:t>
      </w:r>
      <w:r>
        <w:rPr>
          <w:rFonts w:hint="eastAsia" w:ascii="宋体" w:hAnsi="宋体"/>
          <w:b/>
          <w:color w:val="000000"/>
          <w:szCs w:val="21"/>
          <w:lang w:val="en-US" w:eastAsia="zh-CN"/>
        </w:rPr>
        <w:t>38</w:t>
      </w:r>
      <w:r>
        <w:rPr>
          <w:rFonts w:hint="eastAsia" w:ascii="Calibri" w:hAnsi="Calibri" w:eastAsia="宋体" w:cs="宋体"/>
          <w:b/>
          <w:color w:val="000000"/>
          <w:szCs w:val="21"/>
        </w:rPr>
        <w:t>分</w:t>
      </w:r>
      <w:r>
        <w:rPr>
          <w:rFonts w:hint="eastAsia" w:ascii="Calibri" w:hAnsi="Calibri" w:eastAsia="宋体" w:cs="宋体"/>
          <w:b/>
          <w:color w:val="000000"/>
          <w:szCs w:val="21"/>
          <w:lang w:eastAsia="zh-CN"/>
        </w:rPr>
        <w:t>，</w:t>
      </w:r>
      <w:r>
        <w:rPr>
          <w:rFonts w:hint="eastAsia" w:ascii="Calibri" w:hAnsi="Calibri" w:eastAsia="宋体" w:cs="宋体"/>
          <w:b/>
          <w:color w:val="000000"/>
          <w:szCs w:val="21"/>
          <w:lang w:val="en-US" w:eastAsia="zh-CN"/>
        </w:rPr>
        <w:t>其中第1题12分，第2题14分，第3题12分</w:t>
      </w:r>
      <w:r>
        <w:rPr>
          <w:rFonts w:hint="eastAsia" w:ascii="Calibri" w:hAnsi="Calibri" w:eastAsia="宋体" w:cs="宋体"/>
          <w:b/>
          <w:color w:val="000000"/>
          <w:szCs w:val="21"/>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ascii="宋体" w:hAnsi="宋体"/>
          <w:u w:val="none"/>
          <w:lang w:val="en-US" w:eastAsia="zh-CN"/>
        </w:rPr>
        <w:t xml:space="preserve">1、 </w:t>
      </w:r>
      <w:r>
        <w:rPr>
          <w:rFonts w:hint="eastAsia"/>
          <w:b w:val="0"/>
          <w:bCs w:val="0"/>
          <w:lang w:val="en-US" w:eastAsia="zh-CN"/>
        </w:rPr>
        <w:t>ABC会计师事务所委派A注册会计师担任上市公司甲公司2021年度财务报表审计项目合伙人。审计项目团队在审计中遇到下列事项：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（1）审计过程中，适逢甲公司招聘高级管理人员，A注册会计师应甲公司的要求对可能录用人员实施背景调查，并就是否录用形成书面意见。</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（2）审计项目组成员的父亲购买了甲公司少量股票，在2021年6月将其出售，股票市值200元。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（3）甲公司因缺乏人手，向ABC会计师事务所借调一名审计助理协助甲公司履行纳税申报义务，管理层对纳税申报表承担责任，借调时间为一个月。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（4）B注册会计师是ABC会计师事务所信息技术部的合伙人，不是审计项目团队成员，其妻子是甲公司某分公司的人力资源管理部门经理。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（5）甲公司与客户发生重大诉讼纠纷，因该纠纷对甲公司财务报表具有重大影响，甲公司聘请A注册会计师担任辩护人。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（6）甲公司与ABC会计师事务所签订协议，由甲公司向其客户推荐ABC会计师事务所的服务。每次推荐成功后，由ABC会计师事务所向甲公司支付少量的业务介绍费。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ind w:firstLine="420" w:firstLineChars="200"/>
        <w:textAlignment w:val="auto"/>
        <w:rPr>
          <w:rFonts w:hint="eastAsia"/>
          <w:b w:val="0"/>
          <w:bCs w:val="0"/>
          <w:lang w:val="en-US" w:eastAsia="zh-CN"/>
        </w:rPr>
      </w:pPr>
      <w:r>
        <w:rPr>
          <w:rFonts w:hint="eastAsia"/>
          <w:b w:val="0"/>
          <w:bCs w:val="0"/>
          <w:lang w:val="en-US" w:eastAsia="zh-CN"/>
        </w:rPr>
        <w:t>针对上述第（1）至（6）项，逐项指出是否可能存在违反中国注册会计师职业道德守则规定的情况，并简要说明理由。</w:t>
      </w: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keepNext w:val="0"/>
        <w:keepLines w:val="0"/>
        <w:pageBreakBefore w:val="0"/>
        <w:widowControl w:val="0"/>
        <w:kinsoku/>
        <w:wordWrap/>
        <w:overflowPunct/>
        <w:topLinePunct w:val="0"/>
        <w:autoSpaceDE/>
        <w:autoSpaceDN/>
        <w:bidi w:val="0"/>
        <w:adjustRightInd w:val="0"/>
        <w:snapToGrid w:val="0"/>
        <w:spacing w:line="20" w:lineRule="atLeast"/>
        <w:ind w:firstLine="420" w:firstLineChars="200"/>
        <w:textAlignment w:val="auto"/>
        <w:rPr>
          <w:rFonts w:hint="eastAsia" w:ascii="宋体" w:hAnsi="宋体" w:eastAsia="宋体" w:cs="宋体"/>
          <w:lang w:val="en-US" w:eastAsia="zh-CN"/>
        </w:rPr>
      </w:pPr>
      <w:r>
        <w:rPr>
          <w:rFonts w:hint="eastAsia" w:ascii="宋体" w:hAnsi="宋体" w:eastAsia="宋体"/>
          <w:u w:val="none"/>
          <w:lang w:val="en-US" w:eastAsia="zh-CN"/>
        </w:rPr>
        <w:t>2、</w:t>
      </w:r>
      <w:r>
        <w:rPr>
          <w:rFonts w:hint="eastAsia" w:ascii="宋体" w:hAnsi="宋体" w:eastAsia="宋体" w:cs="宋体"/>
          <w:lang w:val="en-US" w:eastAsia="zh-CN"/>
        </w:rPr>
        <w:t>注册会计师负责对常年审计客户甲公司2022年度财务报表进行审计。甲公司从事商品零售业，存货占其资产总额的60%。除自营业务外，甲公司还将部分柜台出租，并为承租商提供商品仓储服务。根据以往的经验和期中测试的结果，注册会计师认为甲公司有关存货的内部控制有效。注册会计师计划于2022年12月 31日实施存货监盘程序。注册会计师编制的存货监盘计划部分内容摘录如下：</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lang w:val="en-US" w:eastAsia="zh-CN"/>
        </w:rPr>
      </w:pPr>
      <w:r>
        <w:rPr>
          <w:rFonts w:hint="eastAsia" w:ascii="宋体" w:hAnsi="宋体" w:eastAsia="宋体" w:cs="宋体"/>
          <w:lang w:val="en-US" w:eastAsia="zh-CN"/>
        </w:rPr>
        <w:t>　　（1）在到达存货盘点现场后，监盘人员观察代柜台承租商保管的存货是否已经单独存放并予以标明，确定其未被纳入存货盘点范围。</w:t>
      </w:r>
    </w:p>
    <w:p>
      <w:pPr>
        <w:keepNext w:val="0"/>
        <w:keepLines w:val="0"/>
        <w:pageBreakBefore w:val="0"/>
        <w:widowControl w:val="0"/>
        <w:kinsoku/>
        <w:wordWrap/>
        <w:overflowPunct/>
        <w:topLinePunct w:val="0"/>
        <w:autoSpaceDE/>
        <w:autoSpaceDN/>
        <w:bidi w:val="0"/>
        <w:adjustRightInd w:val="0"/>
        <w:snapToGrid w:val="0"/>
        <w:spacing w:line="20" w:lineRule="atLeas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（2）在甲公司开始盘点存货前，监盘人员在拟检查的存货项目上作出标识。</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lang w:val="en-US" w:eastAsia="zh-CN"/>
        </w:rPr>
      </w:pPr>
      <w:r>
        <w:rPr>
          <w:rFonts w:hint="eastAsia" w:ascii="宋体" w:hAnsi="宋体" w:eastAsia="宋体" w:cs="宋体"/>
          <w:lang w:val="en-US" w:eastAsia="zh-CN"/>
        </w:rPr>
        <w:t>　　（3）对以标准规格包装箱包装的存货，监盘人员根据包装箱的数量及每箱的标准容量直接计算确定存货的数量。</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lang w:val="en-US" w:eastAsia="zh-CN"/>
        </w:rPr>
      </w:pPr>
      <w:r>
        <w:rPr>
          <w:rFonts w:hint="eastAsia" w:ascii="宋体" w:hAnsi="宋体" w:eastAsia="宋体" w:cs="宋体"/>
          <w:lang w:val="en-US" w:eastAsia="zh-CN"/>
        </w:rPr>
        <w:t>　　（4）在存货监盘过程中， 监盘人员除关注存货的数量外，还需要特别关注存货是否出现毁损、陈旧、过时及残次等情况。</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lang w:val="en-US" w:eastAsia="zh-CN"/>
        </w:rPr>
      </w:pPr>
      <w:r>
        <w:rPr>
          <w:rFonts w:hint="eastAsia" w:ascii="宋体" w:hAnsi="宋体" w:eastAsia="宋体" w:cs="宋体"/>
          <w:lang w:val="en-US" w:eastAsia="zh-CN"/>
        </w:rPr>
        <w:t>　　（5）对存货监盘过程中收到的存货，要求甲公司单独码放，不纳入存货监盘的范围。</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lang w:val="en-US" w:eastAsia="zh-CN"/>
        </w:rPr>
      </w:pPr>
      <w:r>
        <w:rPr>
          <w:rFonts w:hint="eastAsia" w:ascii="宋体" w:hAnsi="宋体" w:eastAsia="宋体" w:cs="宋体"/>
          <w:lang w:val="en-US" w:eastAsia="zh-CN"/>
        </w:rPr>
        <w:t>　　（6）在存货监盘结束时，监盘人员将除作废的盘点表单以外的所有盘点表单的号码记录于监盘工作底稿。</w:t>
      </w:r>
    </w:p>
    <w:p>
      <w:pPr>
        <w:keepNext w:val="0"/>
        <w:keepLines w:val="0"/>
        <w:pageBreakBefore w:val="0"/>
        <w:widowControl w:val="0"/>
        <w:kinsoku/>
        <w:wordWrap/>
        <w:overflowPunct/>
        <w:topLinePunct w:val="0"/>
        <w:autoSpaceDE/>
        <w:autoSpaceDN/>
        <w:bidi w:val="0"/>
        <w:adjustRightInd w:val="0"/>
        <w:snapToGrid w:val="0"/>
        <w:spacing w:line="20" w:lineRule="atLeas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　　要求：(1)针对上述（1）至(6)项，逐项指出是否存在不当之处。如果存在，简要说明理由。</w:t>
      </w:r>
    </w:p>
    <w:p>
      <w:pPr>
        <w:keepNext w:val="0"/>
        <w:keepLines w:val="0"/>
        <w:pageBreakBefore w:val="0"/>
        <w:widowControl w:val="0"/>
        <w:kinsoku/>
        <w:wordWrap/>
        <w:overflowPunct/>
        <w:topLinePunct w:val="0"/>
        <w:autoSpaceDE/>
        <w:autoSpaceDN/>
        <w:bidi w:val="0"/>
        <w:adjustRightInd w:val="0"/>
        <w:snapToGrid w:val="0"/>
        <w:spacing w:line="20" w:lineRule="atLeast"/>
        <w:ind w:firstLine="424"/>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（2）假设因雪灾导致监盘人员于原定存货监盘日未能到达盘点现场，指出注册会计师应当采取何种补救措施。</w:t>
      </w: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ABC会计师事务所的注册会计师对丁股份有限公司2020年度会计报表进行了审计。公司审计前会计报表反映的资产总额为5000万元，年度利润总额为100万元，重要性水平判断为10万元。在审计过程中发现以下几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（1）公司利润总额中的0.5万元是由其境外子公司提供的，注册会计师无法赴国外对子公司的会计报表进行审查，也无法通过其他审计程序加以验证。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（2）丁公司全部存货占资产总额的50%以上，放置于邻近单位仓库内。由于此仓库倒塌尚未清理完毕，不仅无法估计损失，也无法实施监盘程序；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（3）丁公司在2020年1月份购入一台管理用设备，当月投入使用，2020年未提折旧。该设备原始价值50万元，月折旧率2％。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（1）针对上述3种情况，哪种情况需要提出调整意见？请列示调整分录（不考虑所得税、利润分配等的影响）。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（2）假定被审计单位拒绝注册会计师对上述3种情况的处理意见，分别判断（考虑某情况时不考虑其他情况的影响）注册会计师应当出具的审计意见类型，并说明原因。</w:t>
      </w: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numPr>
          <w:numId w:val="0"/>
        </w:numPr>
        <w:tabs>
          <w:tab w:val="left" w:pos="5670"/>
        </w:tabs>
        <w:ind w:leftChars="0"/>
        <w:rPr>
          <w:rFonts w:hint="eastAsia" w:ascii="Calibri" w:hAnsi="Calibri" w:eastAsia="宋体" w:cs="宋体"/>
          <w:b/>
          <w:color w:val="000000"/>
          <w:szCs w:val="21"/>
        </w:rPr>
      </w:pPr>
    </w:p>
    <w:p>
      <w:pPr>
        <w:spacing w:line="400" w:lineRule="exact"/>
        <w:jc w:val="center"/>
        <w:rPr>
          <w:rFonts w:ascii="楷体_GB2312" w:hAnsi="华文细黑" w:eastAsia="楷体_GB2312"/>
          <w:b/>
          <w:color w:val="000000"/>
          <w:sz w:val="36"/>
        </w:rPr>
      </w:pPr>
      <w:r>
        <w:rPr>
          <w:rFonts w:hint="eastAsia" w:ascii="楷体_GB2312" w:hAnsi="华文细黑" w:eastAsia="楷体_GB2312"/>
          <w:b/>
          <w:color w:val="000000"/>
          <w:sz w:val="36"/>
        </w:rPr>
        <w:t>试题标准答案及评分标准用纸</w:t>
      </w:r>
    </w:p>
    <w:p>
      <w:pPr>
        <w:spacing w:line="400" w:lineRule="exact"/>
        <w:ind w:left="240" w:hanging="240" w:hangingChars="100"/>
        <w:rPr>
          <w:rFonts w:ascii="华文细黑" w:hAnsi="华文细黑" w:eastAsia="华文细黑"/>
          <w:color w:val="000000"/>
          <w:sz w:val="24"/>
        </w:rPr>
      </w:pPr>
      <w:r>
        <w:rPr>
          <w:rFonts w:ascii="华文细黑" w:hAnsi="华文细黑" w:eastAsia="华文细黑"/>
          <w:color w:val="000000"/>
          <w:sz w:val="24"/>
        </w:rPr>
        <w:t xml:space="preserve">                      </w:t>
      </w:r>
      <w:r>
        <w:rPr>
          <w:rFonts w:hint="eastAsia" w:ascii="华文细黑" w:hAnsi="华文细黑" w:eastAsia="华文细黑"/>
          <w:color w:val="000000"/>
          <w:sz w:val="24"/>
        </w:rPr>
        <w:t>课程名称：</w:t>
      </w:r>
      <w:r>
        <w:rPr>
          <w:rFonts w:ascii="华文细黑" w:hAnsi="华文细黑" w:eastAsia="华文细黑"/>
          <w:color w:val="000000"/>
          <w:sz w:val="24"/>
        </w:rPr>
        <w:t xml:space="preserve"> </w:t>
      </w:r>
      <w:r>
        <w:rPr>
          <w:rFonts w:hint="eastAsia" w:ascii="华文细黑" w:hAnsi="华文细黑" w:eastAsia="华文细黑"/>
          <w:color w:val="000000"/>
          <w:sz w:val="24"/>
          <w:lang w:val="en-US" w:eastAsia="zh-CN"/>
        </w:rPr>
        <w:t>审计学</w:t>
      </w:r>
      <w:r>
        <w:rPr>
          <w:rFonts w:ascii="华文细黑" w:hAnsi="华文细黑" w:eastAsia="华文细黑"/>
          <w:color w:val="000000"/>
          <w:sz w:val="24"/>
        </w:rPr>
        <w:t xml:space="preserve">   </w:t>
      </w:r>
      <w:r>
        <w:rPr>
          <w:rFonts w:hint="eastAsia" w:ascii="华文细黑" w:hAnsi="华文细黑" w:eastAsia="华文细黑"/>
          <w:color w:val="000000"/>
          <w:sz w:val="24"/>
        </w:rPr>
        <w:t xml:space="preserve">              （</w:t>
      </w:r>
      <w:r>
        <w:rPr>
          <w:rFonts w:ascii="华文细黑" w:hAnsi="华文细黑" w:eastAsia="华文细黑"/>
          <w:color w:val="000000"/>
          <w:sz w:val="24"/>
        </w:rPr>
        <w:t xml:space="preserve"> </w:t>
      </w:r>
      <w:r>
        <w:rPr>
          <w:rFonts w:hint="eastAsia" w:ascii="华文细黑" w:hAnsi="华文细黑" w:eastAsia="华文细黑"/>
          <w:color w:val="000000"/>
          <w:sz w:val="24"/>
          <w:lang w:val="en-US" w:eastAsia="zh-CN"/>
        </w:rPr>
        <w:t>D</w:t>
      </w:r>
      <w:r>
        <w:rPr>
          <w:rFonts w:ascii="华文细黑" w:hAnsi="华文细黑" w:eastAsia="华文细黑"/>
          <w:color w:val="000000"/>
          <w:sz w:val="24"/>
        </w:rPr>
        <w:t xml:space="preserve"> </w:t>
      </w:r>
      <w:r>
        <w:rPr>
          <w:rFonts w:hint="eastAsia" w:ascii="华文细黑" w:hAnsi="华文细黑" w:eastAsia="华文细黑"/>
          <w:color w:val="000000"/>
          <w:sz w:val="24"/>
        </w:rPr>
        <w:t>卷）</w:t>
      </w:r>
    </w:p>
    <w:p>
      <w:pPr>
        <w:tabs>
          <w:tab w:val="left" w:pos="1365"/>
        </w:tabs>
        <w:jc w:val="both"/>
        <w:rPr>
          <w:color w:val="000000"/>
        </w:rPr>
      </w:pPr>
      <w:r>
        <w:rPr>
          <w:rFonts w:hint="eastAsia" w:ascii="宋体" w:hAnsi="宋体"/>
          <w:b/>
          <w:bCs/>
          <w:color w:val="000000"/>
          <w:szCs w:val="21"/>
        </w:rPr>
        <w:t>一、判断题（判断正误，如果错误请进行修改。每小题</w:t>
      </w:r>
      <w:r>
        <w:rPr>
          <w:rFonts w:hint="eastAsia" w:ascii="宋体" w:hAnsi="宋体"/>
          <w:b/>
          <w:bCs/>
          <w:color w:val="000000"/>
          <w:szCs w:val="21"/>
          <w:lang w:val="en-US" w:eastAsia="zh-CN"/>
        </w:rPr>
        <w:t>1</w:t>
      </w:r>
      <w:r>
        <w:rPr>
          <w:rFonts w:hint="eastAsia" w:ascii="宋体" w:hAnsi="宋体"/>
          <w:b/>
          <w:bCs/>
          <w:color w:val="000000"/>
          <w:szCs w:val="21"/>
        </w:rPr>
        <w:t>分，共计</w:t>
      </w:r>
      <w:r>
        <w:rPr>
          <w:rFonts w:hint="eastAsia" w:ascii="宋体" w:hAnsi="宋体"/>
          <w:b/>
          <w:bCs/>
          <w:color w:val="000000"/>
          <w:szCs w:val="21"/>
          <w:lang w:val="en-US" w:eastAsia="zh-CN"/>
        </w:rPr>
        <w:t>5</w:t>
      </w:r>
      <w:r>
        <w:rPr>
          <w:rFonts w:hint="eastAsia" w:ascii="宋体" w:hAnsi="宋体"/>
          <w:b/>
          <w:bCs/>
          <w:color w:val="000000"/>
          <w:szCs w:val="21"/>
        </w:rPr>
        <w:t>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859"/>
        <w:gridCol w:w="859"/>
        <w:gridCol w:w="859"/>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858" w:type="dxa"/>
            <w:noWrap w:val="0"/>
            <w:vAlign w:val="top"/>
          </w:tcPr>
          <w:p>
            <w:pPr>
              <w:rPr>
                <w:color w:val="000000"/>
              </w:rPr>
            </w:pPr>
            <w:r>
              <w:rPr>
                <w:color w:val="000000"/>
              </w:rPr>
              <w:t>1</w:t>
            </w:r>
          </w:p>
        </w:tc>
        <w:tc>
          <w:tcPr>
            <w:tcW w:w="859" w:type="dxa"/>
            <w:noWrap w:val="0"/>
            <w:vAlign w:val="top"/>
          </w:tcPr>
          <w:p>
            <w:pPr>
              <w:rPr>
                <w:color w:val="000000"/>
              </w:rPr>
            </w:pPr>
            <w:r>
              <w:rPr>
                <w:color w:val="000000"/>
              </w:rPr>
              <w:t>2</w:t>
            </w:r>
          </w:p>
        </w:tc>
        <w:tc>
          <w:tcPr>
            <w:tcW w:w="859" w:type="dxa"/>
            <w:noWrap w:val="0"/>
            <w:vAlign w:val="top"/>
          </w:tcPr>
          <w:p>
            <w:pPr>
              <w:rPr>
                <w:color w:val="000000"/>
              </w:rPr>
            </w:pPr>
            <w:r>
              <w:rPr>
                <w:color w:val="000000"/>
              </w:rPr>
              <w:t>3</w:t>
            </w:r>
          </w:p>
        </w:tc>
        <w:tc>
          <w:tcPr>
            <w:tcW w:w="859" w:type="dxa"/>
            <w:noWrap w:val="0"/>
            <w:vAlign w:val="top"/>
          </w:tcPr>
          <w:p>
            <w:pPr>
              <w:rPr>
                <w:color w:val="000000"/>
              </w:rPr>
            </w:pPr>
            <w:r>
              <w:rPr>
                <w:color w:val="000000"/>
              </w:rPr>
              <w:t>4</w:t>
            </w:r>
          </w:p>
        </w:tc>
        <w:tc>
          <w:tcPr>
            <w:tcW w:w="859" w:type="dxa"/>
            <w:noWrap w:val="0"/>
            <w:vAlign w:val="top"/>
          </w:tcPr>
          <w:p>
            <w:pPr>
              <w:rPr>
                <w:color w:val="000000"/>
              </w:rPr>
            </w:pPr>
            <w:r>
              <w:rPr>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8" w:type="dxa"/>
            <w:noWrap w:val="0"/>
            <w:vAlign w:val="top"/>
          </w:tcPr>
          <w:p>
            <w:pPr>
              <w:rPr>
                <w:color w:val="000000"/>
              </w:rPr>
            </w:pPr>
            <w:r>
              <w:rPr>
                <w:rFonts w:hint="default" w:ascii="Arial" w:hAnsi="Arial" w:cs="Arial"/>
                <w:color w:val="000000"/>
              </w:rPr>
              <w:t>√</w:t>
            </w:r>
          </w:p>
        </w:tc>
        <w:tc>
          <w:tcPr>
            <w:tcW w:w="859" w:type="dxa"/>
            <w:noWrap w:val="0"/>
            <w:vAlign w:val="top"/>
          </w:tcPr>
          <w:p>
            <w:pPr>
              <w:rPr>
                <w:color w:val="000000"/>
              </w:rPr>
            </w:pPr>
            <w:r>
              <w:rPr>
                <w:rFonts w:hint="default" w:ascii="Arial" w:hAnsi="Arial" w:cs="Arial"/>
                <w:color w:val="000000"/>
              </w:rPr>
              <w:t>×</w:t>
            </w:r>
          </w:p>
        </w:tc>
        <w:tc>
          <w:tcPr>
            <w:tcW w:w="859" w:type="dxa"/>
            <w:noWrap w:val="0"/>
            <w:vAlign w:val="top"/>
          </w:tcPr>
          <w:p>
            <w:pPr>
              <w:rPr>
                <w:color w:val="000000"/>
              </w:rPr>
            </w:pPr>
            <w:r>
              <w:rPr>
                <w:rFonts w:hint="default" w:ascii="Arial" w:hAnsi="Arial" w:cs="Arial"/>
                <w:color w:val="000000"/>
              </w:rPr>
              <w:t>√</w:t>
            </w:r>
          </w:p>
        </w:tc>
        <w:tc>
          <w:tcPr>
            <w:tcW w:w="859" w:type="dxa"/>
            <w:noWrap w:val="0"/>
            <w:vAlign w:val="top"/>
          </w:tcPr>
          <w:p>
            <w:pPr>
              <w:rPr>
                <w:color w:val="000000"/>
              </w:rPr>
            </w:pPr>
            <w:r>
              <w:rPr>
                <w:rFonts w:hint="default" w:ascii="Arial" w:hAnsi="Arial" w:cs="Arial"/>
                <w:color w:val="000000"/>
              </w:rPr>
              <w:t>√</w:t>
            </w:r>
          </w:p>
        </w:tc>
        <w:tc>
          <w:tcPr>
            <w:tcW w:w="859" w:type="dxa"/>
            <w:noWrap w:val="0"/>
            <w:vAlign w:val="top"/>
          </w:tcPr>
          <w:p>
            <w:pPr>
              <w:rPr>
                <w:color w:val="000000"/>
              </w:rPr>
            </w:pPr>
            <w:r>
              <w:rPr>
                <w:rFonts w:hint="default" w:ascii="Arial" w:hAnsi="Arial" w:cs="Arial"/>
                <w:color w:val="000000"/>
              </w:rPr>
              <w:t>×</w:t>
            </w:r>
          </w:p>
        </w:tc>
      </w:tr>
    </w:tbl>
    <w:p>
      <w:pPr>
        <w:rPr>
          <w:rFonts w:ascii="宋体" w:hAnsi="宋体"/>
          <w:b/>
          <w:color w:val="000000"/>
        </w:rPr>
      </w:pPr>
      <w:r>
        <w:rPr>
          <w:rFonts w:hint="eastAsia" w:ascii="宋体" w:hAnsi="宋体"/>
          <w:b/>
          <w:color w:val="000000"/>
        </w:rPr>
        <w:t>二、单项选择题 （每小题2分，共20分）</w:t>
      </w:r>
    </w:p>
    <w:tbl>
      <w:tblPr>
        <w:tblStyle w:val="4"/>
        <w:tblpPr w:leftFromText="180" w:rightFromText="180" w:vertAnchor="text" w:horzAnchor="page" w:tblpX="1666" w:tblpY="4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930"/>
        <w:gridCol w:w="945"/>
        <w:gridCol w:w="870"/>
        <w:gridCol w:w="840"/>
        <w:gridCol w:w="855"/>
        <w:gridCol w:w="855"/>
        <w:gridCol w:w="870"/>
        <w:gridCol w:w="82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adjustRightInd w:val="0"/>
              <w:jc w:val="center"/>
              <w:rPr>
                <w:rFonts w:ascii="宋体" w:hAnsi="宋体"/>
                <w:b/>
                <w:color w:val="000000"/>
                <w:szCs w:val="21"/>
              </w:rPr>
            </w:pPr>
            <w:r>
              <w:rPr>
                <w:rFonts w:hint="eastAsia" w:ascii="宋体" w:hAnsi="宋体"/>
                <w:b/>
                <w:color w:val="000000"/>
                <w:szCs w:val="21"/>
              </w:rPr>
              <w:t>1</w:t>
            </w:r>
          </w:p>
        </w:tc>
        <w:tc>
          <w:tcPr>
            <w:tcW w:w="930" w:type="dxa"/>
            <w:noWrap w:val="0"/>
            <w:vAlign w:val="center"/>
          </w:tcPr>
          <w:p>
            <w:pPr>
              <w:adjustRightInd w:val="0"/>
              <w:jc w:val="center"/>
              <w:rPr>
                <w:rFonts w:ascii="宋体" w:hAnsi="宋体"/>
                <w:b/>
                <w:color w:val="000000"/>
                <w:szCs w:val="21"/>
              </w:rPr>
            </w:pPr>
            <w:r>
              <w:rPr>
                <w:rFonts w:hint="eastAsia" w:ascii="宋体" w:hAnsi="宋体"/>
                <w:b/>
                <w:color w:val="000000"/>
                <w:szCs w:val="21"/>
              </w:rPr>
              <w:t>2</w:t>
            </w:r>
          </w:p>
        </w:tc>
        <w:tc>
          <w:tcPr>
            <w:tcW w:w="945" w:type="dxa"/>
            <w:noWrap w:val="0"/>
            <w:vAlign w:val="top"/>
          </w:tcPr>
          <w:p>
            <w:pPr>
              <w:adjustRightInd w:val="0"/>
              <w:jc w:val="center"/>
              <w:rPr>
                <w:rFonts w:ascii="宋体" w:hAnsi="宋体"/>
                <w:b/>
                <w:color w:val="000000"/>
                <w:szCs w:val="21"/>
              </w:rPr>
            </w:pPr>
            <w:r>
              <w:rPr>
                <w:rFonts w:hint="eastAsia" w:ascii="宋体" w:hAnsi="宋体"/>
                <w:b/>
                <w:color w:val="000000"/>
                <w:szCs w:val="21"/>
              </w:rPr>
              <w:t>3</w:t>
            </w:r>
          </w:p>
        </w:tc>
        <w:tc>
          <w:tcPr>
            <w:tcW w:w="870" w:type="dxa"/>
            <w:noWrap w:val="0"/>
            <w:vAlign w:val="top"/>
          </w:tcPr>
          <w:p>
            <w:pPr>
              <w:adjustRightInd w:val="0"/>
              <w:jc w:val="center"/>
              <w:rPr>
                <w:rFonts w:ascii="宋体" w:hAnsi="宋体"/>
                <w:b/>
                <w:color w:val="000000"/>
                <w:szCs w:val="21"/>
              </w:rPr>
            </w:pPr>
            <w:r>
              <w:rPr>
                <w:rFonts w:hint="eastAsia" w:ascii="宋体" w:hAnsi="宋体"/>
                <w:b/>
                <w:color w:val="000000"/>
                <w:szCs w:val="21"/>
              </w:rPr>
              <w:t>4</w:t>
            </w:r>
          </w:p>
        </w:tc>
        <w:tc>
          <w:tcPr>
            <w:tcW w:w="840" w:type="dxa"/>
            <w:noWrap w:val="0"/>
            <w:vAlign w:val="top"/>
          </w:tcPr>
          <w:p>
            <w:pPr>
              <w:adjustRightInd w:val="0"/>
              <w:jc w:val="center"/>
              <w:rPr>
                <w:rFonts w:ascii="宋体" w:hAnsi="宋体"/>
                <w:b/>
                <w:color w:val="000000"/>
                <w:szCs w:val="21"/>
              </w:rPr>
            </w:pPr>
            <w:r>
              <w:rPr>
                <w:rFonts w:hint="eastAsia" w:ascii="宋体" w:hAnsi="宋体"/>
                <w:b/>
                <w:color w:val="000000"/>
                <w:szCs w:val="21"/>
              </w:rPr>
              <w:t>5</w:t>
            </w:r>
          </w:p>
        </w:tc>
        <w:tc>
          <w:tcPr>
            <w:tcW w:w="855" w:type="dxa"/>
            <w:noWrap w:val="0"/>
            <w:vAlign w:val="top"/>
          </w:tcPr>
          <w:p>
            <w:pPr>
              <w:adjustRightInd w:val="0"/>
              <w:jc w:val="center"/>
              <w:rPr>
                <w:rFonts w:ascii="宋体" w:hAnsi="宋体"/>
                <w:b/>
                <w:color w:val="000000"/>
                <w:szCs w:val="21"/>
              </w:rPr>
            </w:pPr>
            <w:r>
              <w:rPr>
                <w:rFonts w:hint="eastAsia" w:ascii="宋体" w:hAnsi="宋体"/>
                <w:b/>
                <w:color w:val="000000"/>
                <w:szCs w:val="21"/>
              </w:rPr>
              <w:t>6</w:t>
            </w:r>
          </w:p>
        </w:tc>
        <w:tc>
          <w:tcPr>
            <w:tcW w:w="855" w:type="dxa"/>
            <w:noWrap w:val="0"/>
            <w:vAlign w:val="top"/>
          </w:tcPr>
          <w:p>
            <w:pPr>
              <w:adjustRightInd w:val="0"/>
              <w:jc w:val="center"/>
              <w:rPr>
                <w:rFonts w:ascii="宋体" w:hAnsi="宋体"/>
                <w:b/>
                <w:color w:val="000000"/>
                <w:szCs w:val="21"/>
              </w:rPr>
            </w:pPr>
            <w:r>
              <w:rPr>
                <w:rFonts w:hint="eastAsia" w:ascii="宋体" w:hAnsi="宋体"/>
                <w:b/>
                <w:color w:val="000000"/>
                <w:szCs w:val="21"/>
              </w:rPr>
              <w:t>7</w:t>
            </w:r>
          </w:p>
        </w:tc>
        <w:tc>
          <w:tcPr>
            <w:tcW w:w="870" w:type="dxa"/>
            <w:noWrap w:val="0"/>
            <w:vAlign w:val="center"/>
          </w:tcPr>
          <w:p>
            <w:pPr>
              <w:adjustRightInd w:val="0"/>
              <w:jc w:val="center"/>
              <w:rPr>
                <w:rFonts w:ascii="宋体" w:hAnsi="宋体"/>
                <w:b/>
                <w:color w:val="000000"/>
                <w:szCs w:val="21"/>
              </w:rPr>
            </w:pPr>
            <w:r>
              <w:rPr>
                <w:rFonts w:hint="eastAsia" w:ascii="宋体" w:hAnsi="宋体"/>
                <w:b/>
                <w:color w:val="000000"/>
                <w:szCs w:val="21"/>
              </w:rPr>
              <w:t>8</w:t>
            </w:r>
          </w:p>
        </w:tc>
        <w:tc>
          <w:tcPr>
            <w:tcW w:w="825" w:type="dxa"/>
            <w:noWrap w:val="0"/>
            <w:vAlign w:val="center"/>
          </w:tcPr>
          <w:p>
            <w:pPr>
              <w:adjustRightInd w:val="0"/>
              <w:jc w:val="center"/>
              <w:rPr>
                <w:rFonts w:ascii="宋体" w:hAnsi="宋体"/>
                <w:b/>
                <w:color w:val="000000"/>
                <w:szCs w:val="21"/>
              </w:rPr>
            </w:pPr>
            <w:r>
              <w:rPr>
                <w:rFonts w:hint="eastAsia" w:ascii="宋体" w:hAnsi="宋体"/>
                <w:b/>
                <w:color w:val="000000"/>
                <w:szCs w:val="21"/>
              </w:rPr>
              <w:t>9</w:t>
            </w:r>
          </w:p>
        </w:tc>
        <w:tc>
          <w:tcPr>
            <w:tcW w:w="885" w:type="dxa"/>
            <w:noWrap w:val="0"/>
            <w:vAlign w:val="center"/>
          </w:tcPr>
          <w:p>
            <w:pPr>
              <w:adjustRightInd w:val="0"/>
              <w:jc w:val="center"/>
              <w:rPr>
                <w:rFonts w:ascii="宋体" w:hAnsi="宋体"/>
                <w:b/>
                <w:color w:val="000000"/>
                <w:szCs w:val="21"/>
              </w:rPr>
            </w:pPr>
            <w:r>
              <w:rPr>
                <w:rFonts w:hint="eastAsia" w:ascii="宋体" w:hAnsi="宋体"/>
                <w:b/>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B</w:t>
            </w:r>
          </w:p>
        </w:tc>
        <w:tc>
          <w:tcPr>
            <w:tcW w:w="930"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B</w:t>
            </w:r>
          </w:p>
        </w:tc>
        <w:tc>
          <w:tcPr>
            <w:tcW w:w="945" w:type="dxa"/>
            <w:noWrap w:val="0"/>
            <w:vAlign w:val="top"/>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A</w:t>
            </w:r>
          </w:p>
        </w:tc>
        <w:tc>
          <w:tcPr>
            <w:tcW w:w="870" w:type="dxa"/>
            <w:noWrap w:val="0"/>
            <w:vAlign w:val="top"/>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D</w:t>
            </w:r>
          </w:p>
        </w:tc>
        <w:tc>
          <w:tcPr>
            <w:tcW w:w="840" w:type="dxa"/>
            <w:noWrap w:val="0"/>
            <w:vAlign w:val="top"/>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A</w:t>
            </w:r>
          </w:p>
        </w:tc>
        <w:tc>
          <w:tcPr>
            <w:tcW w:w="855" w:type="dxa"/>
            <w:noWrap w:val="0"/>
            <w:vAlign w:val="top"/>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B</w:t>
            </w:r>
          </w:p>
        </w:tc>
        <w:tc>
          <w:tcPr>
            <w:tcW w:w="855" w:type="dxa"/>
            <w:noWrap w:val="0"/>
            <w:vAlign w:val="top"/>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C</w:t>
            </w:r>
          </w:p>
        </w:tc>
        <w:tc>
          <w:tcPr>
            <w:tcW w:w="870"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C</w:t>
            </w:r>
          </w:p>
        </w:tc>
        <w:tc>
          <w:tcPr>
            <w:tcW w:w="825"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B</w:t>
            </w:r>
          </w:p>
        </w:tc>
        <w:tc>
          <w:tcPr>
            <w:tcW w:w="885"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D</w:t>
            </w:r>
          </w:p>
        </w:tc>
      </w:tr>
    </w:tbl>
    <w:p>
      <w:pPr>
        <w:ind w:left="630" w:leftChars="300"/>
        <w:rPr>
          <w:rFonts w:ascii="宋体" w:hAnsi="宋体"/>
          <w:color w:val="000000"/>
        </w:rPr>
      </w:pPr>
    </w:p>
    <w:p>
      <w:pPr>
        <w:rPr>
          <w:rFonts w:ascii="宋体" w:hAnsi="宋体"/>
          <w:b/>
          <w:bCs/>
          <w:color w:val="000000"/>
          <w:szCs w:val="21"/>
        </w:rPr>
      </w:pPr>
      <w:r>
        <w:rPr>
          <w:rFonts w:hint="eastAsia" w:ascii="宋体" w:hAnsi="宋体"/>
          <w:b/>
          <w:bCs/>
          <w:color w:val="000000"/>
          <w:szCs w:val="21"/>
        </w:rPr>
        <w:t>三、多项选择题</w:t>
      </w:r>
      <w:r>
        <w:rPr>
          <w:rFonts w:hint="eastAsia" w:ascii="宋体" w:hAnsi="宋体"/>
          <w:b/>
          <w:color w:val="000000"/>
        </w:rPr>
        <w:t>（每小题</w:t>
      </w:r>
      <w:r>
        <w:rPr>
          <w:rFonts w:hint="eastAsia" w:ascii="宋体" w:hAnsi="宋体"/>
          <w:b/>
          <w:color w:val="000000"/>
          <w:lang w:val="en-US" w:eastAsia="zh-CN"/>
        </w:rPr>
        <w:t>2</w:t>
      </w:r>
      <w:r>
        <w:rPr>
          <w:rFonts w:hint="eastAsia" w:ascii="宋体" w:hAnsi="宋体"/>
          <w:b/>
          <w:color w:val="000000"/>
        </w:rPr>
        <w:t>分，共1</w:t>
      </w:r>
      <w:r>
        <w:rPr>
          <w:rFonts w:hint="eastAsia" w:ascii="宋体" w:hAnsi="宋体"/>
          <w:b/>
          <w:color w:val="000000"/>
          <w:lang w:val="en-US" w:eastAsia="zh-CN"/>
        </w:rPr>
        <w:t>0</w:t>
      </w:r>
      <w:r>
        <w:rPr>
          <w:rFonts w:hint="eastAsia" w:ascii="宋体" w:hAnsi="宋体"/>
          <w:b/>
          <w:color w:val="000000"/>
        </w:rPr>
        <w:t>分）</w:t>
      </w:r>
    </w:p>
    <w:tbl>
      <w:tblPr>
        <w:tblStyle w:val="4"/>
        <w:tblpPr w:leftFromText="180" w:rightFromText="180" w:vertAnchor="text" w:horzAnchor="page" w:tblpX="1666" w:tblpY="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1001"/>
        <w:gridCol w:w="1001"/>
        <w:gridCol w:w="1001"/>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noWrap w:val="0"/>
            <w:vAlign w:val="center"/>
          </w:tcPr>
          <w:p>
            <w:pPr>
              <w:adjustRightInd w:val="0"/>
              <w:jc w:val="center"/>
              <w:rPr>
                <w:rFonts w:ascii="宋体" w:hAnsi="宋体"/>
                <w:b/>
                <w:color w:val="000000"/>
                <w:szCs w:val="21"/>
              </w:rPr>
            </w:pPr>
            <w:r>
              <w:rPr>
                <w:rFonts w:hint="eastAsia" w:ascii="宋体" w:hAnsi="宋体"/>
                <w:b/>
                <w:color w:val="000000"/>
                <w:szCs w:val="21"/>
              </w:rPr>
              <w:t>1</w:t>
            </w:r>
          </w:p>
        </w:tc>
        <w:tc>
          <w:tcPr>
            <w:tcW w:w="1001" w:type="dxa"/>
            <w:noWrap w:val="0"/>
            <w:vAlign w:val="center"/>
          </w:tcPr>
          <w:p>
            <w:pPr>
              <w:adjustRightInd w:val="0"/>
              <w:jc w:val="center"/>
              <w:rPr>
                <w:rFonts w:ascii="宋体" w:hAnsi="宋体"/>
                <w:b/>
                <w:color w:val="000000"/>
                <w:szCs w:val="21"/>
              </w:rPr>
            </w:pPr>
            <w:r>
              <w:rPr>
                <w:rFonts w:hint="eastAsia" w:ascii="宋体" w:hAnsi="宋体"/>
                <w:b/>
                <w:color w:val="000000"/>
                <w:szCs w:val="21"/>
              </w:rPr>
              <w:t>2</w:t>
            </w:r>
          </w:p>
        </w:tc>
        <w:tc>
          <w:tcPr>
            <w:tcW w:w="1001" w:type="dxa"/>
            <w:noWrap w:val="0"/>
            <w:vAlign w:val="center"/>
          </w:tcPr>
          <w:p>
            <w:pPr>
              <w:adjustRightInd w:val="0"/>
              <w:jc w:val="center"/>
              <w:rPr>
                <w:rFonts w:ascii="宋体" w:hAnsi="宋体"/>
                <w:b/>
                <w:color w:val="000000"/>
                <w:szCs w:val="21"/>
              </w:rPr>
            </w:pPr>
            <w:r>
              <w:rPr>
                <w:rFonts w:hint="eastAsia" w:ascii="宋体" w:hAnsi="宋体"/>
                <w:b/>
                <w:color w:val="000000"/>
                <w:szCs w:val="21"/>
              </w:rPr>
              <w:t>3</w:t>
            </w:r>
          </w:p>
        </w:tc>
        <w:tc>
          <w:tcPr>
            <w:tcW w:w="1001" w:type="dxa"/>
            <w:noWrap w:val="0"/>
            <w:vAlign w:val="center"/>
          </w:tcPr>
          <w:p>
            <w:pPr>
              <w:adjustRightInd w:val="0"/>
              <w:jc w:val="center"/>
              <w:rPr>
                <w:rFonts w:ascii="宋体" w:hAnsi="宋体"/>
                <w:b/>
                <w:color w:val="000000"/>
                <w:szCs w:val="21"/>
              </w:rPr>
            </w:pPr>
            <w:r>
              <w:rPr>
                <w:rFonts w:hint="eastAsia" w:ascii="宋体" w:hAnsi="宋体"/>
                <w:b/>
                <w:color w:val="000000"/>
                <w:szCs w:val="21"/>
              </w:rPr>
              <w:t>4</w:t>
            </w:r>
          </w:p>
        </w:tc>
        <w:tc>
          <w:tcPr>
            <w:tcW w:w="1001" w:type="dxa"/>
            <w:noWrap w:val="0"/>
            <w:vAlign w:val="center"/>
          </w:tcPr>
          <w:p>
            <w:pPr>
              <w:adjustRightInd w:val="0"/>
              <w:jc w:val="center"/>
              <w:rPr>
                <w:rFonts w:ascii="宋体" w:hAnsi="宋体"/>
                <w:b/>
                <w:color w:val="000000"/>
                <w:szCs w:val="21"/>
              </w:rPr>
            </w:pPr>
            <w:r>
              <w:rPr>
                <w:rFonts w:hint="eastAsia" w:ascii="宋体" w:hAnsi="宋体"/>
                <w:b/>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ABC</w:t>
            </w:r>
          </w:p>
        </w:tc>
        <w:tc>
          <w:tcPr>
            <w:tcW w:w="1001"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color w:val="000000"/>
                <w:szCs w:val="21"/>
                <w:lang w:val="en-US" w:eastAsia="zh-CN"/>
              </w:rPr>
              <w:t>ABD</w:t>
            </w:r>
          </w:p>
        </w:tc>
        <w:tc>
          <w:tcPr>
            <w:tcW w:w="1001"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color w:val="000000"/>
                <w:szCs w:val="21"/>
                <w:lang w:val="en-US" w:eastAsia="zh-CN"/>
              </w:rPr>
              <w:t>ABCD</w:t>
            </w:r>
          </w:p>
        </w:tc>
        <w:tc>
          <w:tcPr>
            <w:tcW w:w="1001"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ABCD</w:t>
            </w:r>
          </w:p>
        </w:tc>
        <w:tc>
          <w:tcPr>
            <w:tcW w:w="1001" w:type="dxa"/>
            <w:noWrap w:val="0"/>
            <w:vAlign w:val="center"/>
          </w:tcPr>
          <w:p>
            <w:pPr>
              <w:adjustRightInd w:val="0"/>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ACD</w:t>
            </w:r>
          </w:p>
        </w:tc>
      </w:tr>
    </w:tbl>
    <w:p>
      <w:pPr>
        <w:spacing w:line="520" w:lineRule="exact"/>
        <w:jc w:val="left"/>
        <w:rPr>
          <w:rFonts w:ascii="宋体" w:hAnsi="宋体"/>
          <w:b/>
          <w:bCs/>
          <w:color w:val="000000"/>
          <w:szCs w:val="21"/>
        </w:rPr>
      </w:pPr>
    </w:p>
    <w:p>
      <w:pPr>
        <w:tabs>
          <w:tab w:val="left" w:pos="1365"/>
        </w:tabs>
        <w:rPr>
          <w:color w:val="000000"/>
        </w:rPr>
      </w:pPr>
    </w:p>
    <w:p>
      <w:pPr>
        <w:keepNext w:val="0"/>
        <w:keepLines w:val="0"/>
        <w:pageBreakBefore w:val="0"/>
        <w:widowControl w:val="0"/>
        <w:kinsoku/>
        <w:wordWrap/>
        <w:overflowPunct/>
        <w:topLinePunct w:val="0"/>
        <w:autoSpaceDE/>
        <w:autoSpaceDN/>
        <w:bidi w:val="0"/>
        <w:adjustRightInd/>
        <w:snapToGrid/>
        <w:spacing w:line="264" w:lineRule="auto"/>
        <w:textAlignment w:val="auto"/>
        <w:rPr>
          <w:rFonts w:cs="宋体"/>
          <w:b/>
          <w:color w:val="000000"/>
          <w:szCs w:val="21"/>
        </w:rPr>
      </w:pPr>
      <w:r>
        <w:rPr>
          <w:rFonts w:hint="eastAsia" w:cs="宋体"/>
          <w:b/>
          <w:color w:val="000000"/>
          <w:szCs w:val="21"/>
        </w:rPr>
        <w:t>四、</w:t>
      </w:r>
      <w:r>
        <w:rPr>
          <w:rFonts w:hint="eastAsia" w:cs="宋体"/>
          <w:b/>
          <w:color w:val="000000"/>
          <w:szCs w:val="21"/>
          <w:lang w:val="en-US" w:eastAsia="zh-CN"/>
        </w:rPr>
        <w:t>简答题</w:t>
      </w:r>
      <w:r>
        <w:rPr>
          <w:rFonts w:hint="eastAsia" w:cs="宋体"/>
          <w:b/>
          <w:color w:val="000000"/>
          <w:szCs w:val="21"/>
        </w:rPr>
        <w:t>（</w:t>
      </w:r>
      <w:r>
        <w:rPr>
          <w:rFonts w:hint="eastAsia" w:cs="宋体"/>
          <w:b/>
          <w:color w:val="000000"/>
          <w:szCs w:val="21"/>
          <w:lang w:val="en-US" w:eastAsia="zh-CN"/>
        </w:rPr>
        <w:t>第1题6</w:t>
      </w:r>
      <w:r>
        <w:rPr>
          <w:rFonts w:hint="eastAsia" w:cs="宋体"/>
          <w:b/>
          <w:color w:val="000000"/>
          <w:szCs w:val="21"/>
        </w:rPr>
        <w:t>分，</w:t>
      </w:r>
      <w:r>
        <w:rPr>
          <w:rFonts w:hint="eastAsia" w:cs="宋体"/>
          <w:b/>
          <w:color w:val="000000"/>
          <w:szCs w:val="21"/>
          <w:lang w:val="en-US" w:eastAsia="zh-CN"/>
        </w:rPr>
        <w:t>第2题5分，第3题6分，</w:t>
      </w:r>
      <w:r>
        <w:rPr>
          <w:rFonts w:hint="eastAsia" w:cs="宋体"/>
          <w:b/>
          <w:color w:val="000000"/>
          <w:szCs w:val="21"/>
        </w:rPr>
        <w:t>共1</w:t>
      </w:r>
      <w:r>
        <w:rPr>
          <w:rFonts w:hint="eastAsia" w:cs="宋体"/>
          <w:b/>
          <w:color w:val="000000"/>
          <w:szCs w:val="21"/>
          <w:lang w:val="en-US" w:eastAsia="zh-CN"/>
        </w:rPr>
        <w:t>7</w:t>
      </w:r>
      <w:r>
        <w:rPr>
          <w:rFonts w:hint="eastAsia" w:cs="宋体"/>
          <w:b/>
          <w:color w:val="000000"/>
          <w:szCs w:val="21"/>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1、财务报表审计的含义和注册会计师审计要素。（6分）</w:t>
      </w:r>
    </w:p>
    <w:p>
      <w:pPr>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答：财务报表审计是指注册会计师对财务报表是否不存在重大错报提供合理保证，以积极方式提出意见，增强除管理层之外的预期使用者对财务报表信赖的程度。</w:t>
      </w:r>
      <w:r>
        <w:rPr>
          <w:rFonts w:hint="eastAsia" w:ascii="宋体" w:hAnsi="宋体" w:eastAsia="宋体" w:cs="宋体"/>
          <w:b w:val="0"/>
          <w:bCs w:val="0"/>
          <w:sz w:val="21"/>
          <w:szCs w:val="21"/>
          <w:lang w:val="en-US" w:eastAsia="zh-CN"/>
        </w:rPr>
        <w:t>（3分）</w:t>
      </w:r>
    </w:p>
    <w:p>
      <w:pPr>
        <w:numPr>
          <w:ilvl w:val="0"/>
          <w:numId w:val="0"/>
        </w:numPr>
        <w:ind w:firstLine="420"/>
        <w:rPr>
          <w:rFonts w:hint="eastAsia"/>
          <w:lang w:val="en-US" w:eastAsia="zh-CN"/>
        </w:rPr>
      </w:pPr>
      <w:r>
        <w:rPr>
          <w:rFonts w:hint="eastAsia" w:ascii="宋体" w:hAnsi="宋体" w:eastAsia="宋体" w:cs="宋体"/>
          <w:b w:val="0"/>
          <w:bCs w:val="0"/>
          <w:color w:val="000000"/>
          <w:sz w:val="21"/>
          <w:szCs w:val="21"/>
          <w:lang w:val="en-US" w:eastAsia="zh-CN"/>
        </w:rPr>
        <w:t>注册会计师审计要素包括审计业务的三方关系人，财务报表，财务报表编制基础，审计证据和审计报告。</w:t>
      </w:r>
      <w:r>
        <w:rPr>
          <w:rFonts w:hint="eastAsia" w:ascii="宋体" w:hAnsi="宋体" w:eastAsia="宋体" w:cs="宋体"/>
          <w:b w:val="0"/>
          <w:bCs w:val="0"/>
          <w:sz w:val="21"/>
          <w:szCs w:val="21"/>
          <w:lang w:val="en-US" w:eastAsia="zh-CN"/>
        </w:rPr>
        <w:t>（3分</w:t>
      </w:r>
      <w:r>
        <w:rPr>
          <w:rFonts w:hint="eastAsia"/>
          <w:lang w:val="en-US" w:eastAsia="zh-CN"/>
        </w:rPr>
        <w:t>）</w:t>
      </w:r>
    </w:p>
    <w:p>
      <w:pPr>
        <w:numPr>
          <w:ilvl w:val="0"/>
          <w:numId w:val="0"/>
        </w:numPr>
        <w:ind w:firstLine="420"/>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jc w:val="both"/>
        <w:textAlignment w:val="auto"/>
        <w:rPr>
          <w:rFonts w:hint="default"/>
          <w:lang w:val="en-US" w:eastAsia="zh-CN"/>
        </w:rPr>
      </w:pPr>
      <w:r>
        <w:rPr>
          <w:rFonts w:hint="eastAsia"/>
          <w:lang w:val="en-US" w:eastAsia="zh-CN"/>
        </w:rPr>
        <w:t xml:space="preserve">2、针对财务报表层次重大错报风险，应当采取总体应对措施，包括 </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4" w:lineRule="auto"/>
        <w:ind w:left="0" w:leftChars="0" w:firstLine="420" w:firstLineChars="200"/>
        <w:jc w:val="both"/>
        <w:textAlignment w:val="auto"/>
        <w:rPr>
          <w:rFonts w:hint="eastAsia"/>
          <w:lang w:val="en-US" w:eastAsia="zh-CN"/>
        </w:rPr>
      </w:pPr>
      <w:r>
        <w:rPr>
          <w:rFonts w:hint="eastAsia"/>
          <w:lang w:val="en-US" w:eastAsia="zh-CN"/>
        </w:rPr>
        <w:t>向项目组强调保持职业怀疑的必要性；（1分）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4" w:lineRule="auto"/>
        <w:ind w:left="0" w:leftChars="0" w:firstLine="420" w:firstLineChars="200"/>
        <w:jc w:val="both"/>
        <w:textAlignment w:val="auto"/>
        <w:rPr>
          <w:rFonts w:hint="eastAsia"/>
          <w:lang w:val="en-US" w:eastAsia="zh-CN"/>
        </w:rPr>
      </w:pPr>
      <w:r>
        <w:rPr>
          <w:rFonts w:hint="eastAsia"/>
          <w:lang w:val="en-US" w:eastAsia="zh-CN"/>
        </w:rPr>
        <w:t>指派更有经验或具有特殊技能的审计人员，或利用专家的工作；（1分）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4" w:lineRule="auto"/>
        <w:ind w:left="0" w:leftChars="0" w:firstLine="420" w:firstLineChars="200"/>
        <w:jc w:val="both"/>
        <w:textAlignment w:val="auto"/>
        <w:rPr>
          <w:rFonts w:hint="eastAsia"/>
          <w:lang w:val="en-US" w:eastAsia="zh-CN"/>
        </w:rPr>
      </w:pPr>
      <w:r>
        <w:rPr>
          <w:rFonts w:hint="eastAsia"/>
          <w:lang w:val="en-US" w:eastAsia="zh-CN"/>
        </w:rPr>
        <w:t>提供更多的督导；（1分）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4" w:lineRule="auto"/>
        <w:ind w:left="0" w:leftChars="0" w:firstLine="420" w:firstLineChars="200"/>
        <w:jc w:val="both"/>
        <w:textAlignment w:val="auto"/>
        <w:rPr>
          <w:rFonts w:hint="eastAsia"/>
          <w:lang w:val="en-US" w:eastAsia="zh-CN"/>
        </w:rPr>
      </w:pPr>
      <w:r>
        <w:rPr>
          <w:rFonts w:hint="eastAsia"/>
          <w:lang w:val="en-US" w:eastAsia="zh-CN"/>
        </w:rPr>
        <w:t>在选择拟实施的进一步审计程序时融入更多的不可预见的因素；（1分）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4" w:lineRule="auto"/>
        <w:ind w:left="0" w:leftChars="0" w:firstLine="420" w:firstLineChars="200"/>
        <w:jc w:val="both"/>
        <w:textAlignment w:val="auto"/>
        <w:rPr>
          <w:rFonts w:hint="default"/>
          <w:lang w:val="en-US" w:eastAsia="zh-CN"/>
        </w:rPr>
      </w:pPr>
      <w:r>
        <w:rPr>
          <w:rFonts w:hint="default"/>
          <w:lang w:val="en-US" w:eastAsia="zh-CN"/>
        </w:rPr>
        <w:t>对拟实施审计程序的性质、时间安排或范围作出总体修改。</w:t>
      </w:r>
      <w:r>
        <w:rPr>
          <w:rFonts w:hint="eastAsia"/>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textAlignment w:val="auto"/>
        <w:rPr>
          <w:rFonts w:hint="default" w:ascii="Calibri" w:hAnsi="Calibri" w:eastAsia="宋体" w:cs="宋体"/>
          <w:b w:val="0"/>
          <w:bCs/>
          <w:color w:val="000000"/>
          <w:szCs w:val="21"/>
          <w:lang w:val="en-US" w:eastAsia="zh-CN"/>
        </w:rPr>
      </w:pPr>
      <w:r>
        <w:rPr>
          <w:rFonts w:hint="eastAsia"/>
          <w:b/>
          <w:bCs/>
          <w:lang w:val="en-US" w:eastAsia="zh-CN"/>
        </w:rPr>
        <w:t>3、答：</w:t>
      </w:r>
      <w:r>
        <w:rPr>
          <w:rFonts w:hint="default" w:ascii="Calibri" w:hAnsi="Calibri" w:eastAsia="宋体" w:cs="宋体"/>
          <w:b w:val="0"/>
          <w:bCs/>
          <w:color w:val="000000"/>
          <w:szCs w:val="21"/>
          <w:lang w:val="en-US" w:eastAsia="zh-CN"/>
        </w:rPr>
        <w:t>1</w:t>
      </w:r>
      <w:r>
        <w:rPr>
          <w:rFonts w:hint="eastAsia" w:ascii="Calibri" w:hAnsi="Calibri" w:eastAsia="宋体" w:cs="宋体"/>
          <w:b w:val="0"/>
          <w:bCs/>
          <w:color w:val="000000"/>
          <w:szCs w:val="21"/>
          <w:lang w:val="en-US" w:eastAsia="zh-CN"/>
        </w:rPr>
        <w:t>）</w:t>
      </w:r>
      <w:r>
        <w:rPr>
          <w:rFonts w:hint="default" w:ascii="Calibri" w:hAnsi="Calibri" w:eastAsia="宋体" w:cs="宋体"/>
          <w:b w:val="0"/>
          <w:bCs/>
          <w:color w:val="000000"/>
          <w:szCs w:val="21"/>
          <w:lang w:val="en-US" w:eastAsia="zh-CN"/>
        </w:rPr>
        <w:t>审计人员应函证</w:t>
      </w:r>
      <w:r>
        <w:rPr>
          <w:rFonts w:hint="eastAsia" w:ascii="Calibri" w:hAnsi="Calibri" w:eastAsia="宋体" w:cs="宋体"/>
          <w:b w:val="0"/>
          <w:bCs/>
          <w:color w:val="000000"/>
          <w:szCs w:val="21"/>
          <w:lang w:val="en-US" w:eastAsia="zh-CN"/>
        </w:rPr>
        <w:t>C</w:t>
      </w:r>
      <w:r>
        <w:rPr>
          <w:rFonts w:hint="default" w:ascii="Calibri" w:hAnsi="Calibri" w:eastAsia="宋体" w:cs="宋体"/>
          <w:b w:val="0"/>
          <w:bCs/>
          <w:color w:val="000000"/>
          <w:szCs w:val="21"/>
          <w:lang w:val="en-US" w:eastAsia="zh-CN"/>
        </w:rPr>
        <w:t>公司和D公司两家应付账款，因为函证应付账款的目的是为了寻找未入账的负债；余额的大小不是函证选择的标准，而是当年供货量的大小。</w:t>
      </w:r>
      <w:r>
        <w:rPr>
          <w:rFonts w:hint="eastAsia" w:ascii="Calibri" w:hAnsi="Calibri" w:eastAsia="宋体" w:cs="宋体"/>
          <w:b w:val="0"/>
          <w:bCs/>
          <w:color w:val="000000"/>
          <w:szCs w:val="21"/>
          <w:lang w:val="en-US" w:eastAsia="zh-CN"/>
        </w:rPr>
        <w:t>（3分）</w:t>
      </w:r>
    </w:p>
    <w:p>
      <w:pPr>
        <w:numPr>
          <w:ilvl w:val="0"/>
          <w:numId w:val="0"/>
        </w:numPr>
        <w:ind w:firstLine="420" w:firstLineChars="200"/>
        <w:rPr>
          <w:rFonts w:hint="default" w:ascii="Calibri" w:hAnsi="Calibri" w:eastAsia="宋体" w:cs="宋体"/>
          <w:b w:val="0"/>
          <w:bCs/>
          <w:color w:val="000000"/>
          <w:szCs w:val="21"/>
          <w:lang w:val="en-US" w:eastAsia="zh-CN"/>
        </w:rPr>
      </w:pPr>
      <w:r>
        <w:rPr>
          <w:rFonts w:hint="default" w:ascii="Calibri" w:hAnsi="Calibri" w:eastAsia="宋体" w:cs="宋体"/>
          <w:b w:val="0"/>
          <w:bCs/>
          <w:color w:val="000000"/>
          <w:szCs w:val="21"/>
          <w:lang w:val="en-US" w:eastAsia="zh-CN"/>
        </w:rPr>
        <w:t>2</w:t>
      </w:r>
      <w:r>
        <w:rPr>
          <w:rFonts w:hint="eastAsia" w:ascii="Calibri" w:hAnsi="Calibri" w:eastAsia="宋体" w:cs="宋体"/>
          <w:b w:val="0"/>
          <w:bCs/>
          <w:color w:val="000000"/>
          <w:szCs w:val="21"/>
          <w:lang w:val="en-US" w:eastAsia="zh-CN"/>
        </w:rPr>
        <w:t>）</w:t>
      </w:r>
      <w:r>
        <w:rPr>
          <w:rFonts w:hint="default" w:ascii="Calibri" w:hAnsi="Calibri" w:eastAsia="宋体" w:cs="宋体"/>
          <w:b w:val="0"/>
          <w:bCs/>
          <w:color w:val="000000"/>
          <w:szCs w:val="21"/>
          <w:lang w:val="en-US" w:eastAsia="zh-CN"/>
        </w:rPr>
        <w:t>审计人员应函证</w:t>
      </w:r>
      <w:r>
        <w:rPr>
          <w:rFonts w:hint="eastAsia" w:ascii="Calibri" w:hAnsi="Calibri" w:eastAsia="宋体" w:cs="宋体"/>
          <w:b w:val="0"/>
          <w:bCs/>
          <w:color w:val="000000"/>
          <w:szCs w:val="21"/>
          <w:lang w:val="en-US" w:eastAsia="zh-CN"/>
        </w:rPr>
        <w:t>B</w:t>
      </w:r>
      <w:r>
        <w:rPr>
          <w:rFonts w:hint="default" w:ascii="Calibri" w:hAnsi="Calibri" w:eastAsia="宋体" w:cs="宋体"/>
          <w:b w:val="0"/>
          <w:bCs/>
          <w:color w:val="000000"/>
          <w:szCs w:val="21"/>
          <w:lang w:val="en-US" w:eastAsia="zh-CN"/>
        </w:rPr>
        <w:t>公司和D公司两家应收账款，因为函证应收账款的目的是为了防止资产的高估；所以应选择期末余额较大的进行函证。</w:t>
      </w:r>
      <w:r>
        <w:rPr>
          <w:rFonts w:hint="eastAsia" w:ascii="Calibri" w:hAnsi="Calibri" w:eastAsia="宋体" w:cs="宋体"/>
          <w:b w:val="0"/>
          <w:bCs/>
          <w:color w:val="000000"/>
          <w:szCs w:val="21"/>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4" w:lineRule="auto"/>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spacing w:line="264" w:lineRule="auto"/>
        <w:textAlignment w:val="auto"/>
        <w:rPr>
          <w:rFonts w:hint="eastAsia"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五、分析填空题（共10分，共1题）</w:t>
      </w:r>
    </w:p>
    <w:p>
      <w:pPr>
        <w:numPr>
          <w:ilvl w:val="0"/>
          <w:numId w:val="0"/>
        </w:numPr>
        <w:ind w:left="315" w:leftChars="0"/>
        <w:rPr>
          <w:rFonts w:hint="eastAsia"/>
          <w:b w:val="0"/>
          <w:bCs w:val="0"/>
          <w:lang w:val="en-US" w:eastAsia="zh-CN"/>
        </w:rPr>
      </w:pPr>
      <w:r>
        <w:rPr>
          <w:rFonts w:hint="eastAsia" w:ascii="宋体" w:hAnsi="宋体" w:eastAsia="宋体" w:cs="宋体"/>
          <w:b/>
          <w:bCs/>
          <w:color w:val="auto"/>
          <w:szCs w:val="24"/>
          <w:lang w:val="en-US" w:eastAsia="zh-CN"/>
        </w:rPr>
        <w:t>1、要求：</w:t>
      </w:r>
      <w:r>
        <w:rPr>
          <w:rFonts w:hint="eastAsia"/>
          <w:b w:val="0"/>
          <w:bCs w:val="0"/>
          <w:lang w:val="en-US" w:eastAsia="zh-CN"/>
        </w:rPr>
        <w:t>请根据题中给出的审计目标，指出对应的相关认定；针对每一个审计目标，选择相应的实质性程序（一项实质性程序可能对应一项或多项审计目标，每一个审计目标可能选择选择一项或多项实质性程序）。（审计目标每空1分，实质性程序每空1分）</w:t>
      </w:r>
    </w:p>
    <w:p>
      <w:pPr>
        <w:numPr>
          <w:ilvl w:val="0"/>
          <w:numId w:val="0"/>
        </w:numPr>
        <w:ind w:left="315" w:leftChars="0"/>
        <w:rPr>
          <w:rFonts w:hint="eastAsia"/>
          <w:b w:val="0"/>
          <w:bCs w:val="0"/>
          <w:lang w:val="en-US" w:eastAsia="zh-CN"/>
        </w:rPr>
      </w:pPr>
      <w:r>
        <w:rPr>
          <w:rFonts w:hint="eastAsia"/>
          <w:b/>
          <w:bCs/>
          <w:lang w:val="en-US" w:eastAsia="zh-CN"/>
        </w:rPr>
        <w:t>解析：</w:t>
      </w:r>
      <w:r>
        <w:rPr>
          <w:rFonts w:hint="eastAsia"/>
          <w:b w:val="0"/>
          <w:bCs w:val="0"/>
          <w:lang w:val="en-US" w:eastAsia="zh-CN"/>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2556"/>
        <w:gridCol w:w="2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相关认定</w:t>
            </w:r>
          </w:p>
        </w:tc>
        <w:tc>
          <w:tcPr>
            <w:tcW w:w="2556" w:type="dxa"/>
            <w:noWrap w:val="0"/>
            <w:vAlign w:val="top"/>
          </w:tcPr>
          <w:p>
            <w:pPr>
              <w:numPr>
                <w:ilvl w:val="0"/>
                <w:numId w:val="0"/>
              </w:numPr>
              <w:ind w:firstLine="210" w:firstLineChars="100"/>
              <w:rPr>
                <w:rFonts w:hint="default"/>
                <w:b w:val="0"/>
                <w:bCs w:val="0"/>
                <w:vertAlign w:val="baseline"/>
                <w:lang w:val="en-US" w:eastAsia="zh-CN"/>
              </w:rPr>
            </w:pPr>
            <w:r>
              <w:rPr>
                <w:rFonts w:hint="eastAsia"/>
                <w:b w:val="0"/>
                <w:bCs w:val="0"/>
                <w:vertAlign w:val="baseline"/>
                <w:lang w:val="en-US" w:eastAsia="zh-CN"/>
              </w:rPr>
              <w:t>审计目标</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实质性程序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发生</w:t>
            </w:r>
          </w:p>
        </w:tc>
        <w:tc>
          <w:tcPr>
            <w:tcW w:w="2556"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A</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F J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完整性</w:t>
            </w:r>
          </w:p>
        </w:tc>
        <w:tc>
          <w:tcPr>
            <w:tcW w:w="2556"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B</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G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准确性</w:t>
            </w:r>
          </w:p>
        </w:tc>
        <w:tc>
          <w:tcPr>
            <w:tcW w:w="2556"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D</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分类</w:t>
            </w:r>
          </w:p>
        </w:tc>
        <w:tc>
          <w:tcPr>
            <w:tcW w:w="2556"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C</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1"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截止</w:t>
            </w:r>
          </w:p>
        </w:tc>
        <w:tc>
          <w:tcPr>
            <w:tcW w:w="2556"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E</w:t>
            </w:r>
          </w:p>
        </w:tc>
        <w:tc>
          <w:tcPr>
            <w:tcW w:w="2534" w:type="dxa"/>
            <w:noWrap w:val="0"/>
            <w:vAlign w:val="top"/>
          </w:tcPr>
          <w:p>
            <w:pPr>
              <w:numPr>
                <w:ilvl w:val="0"/>
                <w:numId w:val="0"/>
              </w:numPr>
              <w:rPr>
                <w:rFonts w:hint="default"/>
                <w:b w:val="0"/>
                <w:bCs w:val="0"/>
                <w:vertAlign w:val="baseline"/>
                <w:lang w:val="en-US" w:eastAsia="zh-CN"/>
              </w:rPr>
            </w:pPr>
            <w:r>
              <w:rPr>
                <w:rFonts w:hint="eastAsia"/>
                <w:b w:val="0"/>
                <w:bCs w:val="0"/>
                <w:vertAlign w:val="baseline"/>
                <w:lang w:val="en-US" w:eastAsia="zh-CN"/>
              </w:rPr>
              <w:t>K</w:t>
            </w:r>
          </w:p>
        </w:tc>
      </w:tr>
    </w:tbl>
    <w:p>
      <w:pPr>
        <w:tabs>
          <w:tab w:val="left" w:pos="1365"/>
        </w:tabs>
        <w:ind w:firstLine="630" w:firstLineChars="300"/>
        <w:rPr>
          <w:rFonts w:hint="eastAsia" w:ascii="Times New Roman" w:hAnsi="Times New Roman"/>
          <w:b w:val="0"/>
          <w:color w:val="000000"/>
          <w:kern w:val="2"/>
          <w:sz w:val="21"/>
          <w:szCs w:val="21"/>
          <w:lang w:val="en-US" w:eastAsia="zh-CN"/>
        </w:rPr>
      </w:pPr>
    </w:p>
    <w:p>
      <w:pPr>
        <w:tabs>
          <w:tab w:val="left" w:pos="1365"/>
        </w:tabs>
        <w:ind w:firstLine="630" w:firstLineChars="300"/>
        <w:rPr>
          <w:rFonts w:hint="eastAsia" w:ascii="Times New Roman" w:hAnsi="Times New Roman"/>
          <w:b w:val="0"/>
          <w:color w:val="000000"/>
          <w:kern w:val="2"/>
          <w:sz w:val="21"/>
          <w:szCs w:val="21"/>
          <w:lang w:val="en-US" w:eastAsia="zh-CN"/>
        </w:rPr>
      </w:pPr>
    </w:p>
    <w:p>
      <w:pPr>
        <w:tabs>
          <w:tab w:val="left" w:pos="5670"/>
        </w:tabs>
        <w:rPr>
          <w:rFonts w:hint="eastAsia" w:cs="宋体"/>
          <w:b/>
          <w:color w:val="000000"/>
          <w:szCs w:val="21"/>
        </w:rPr>
      </w:pPr>
      <w:r>
        <w:rPr>
          <w:rFonts w:hint="eastAsia" w:cs="宋体"/>
          <w:b/>
          <w:color w:val="000000"/>
          <w:szCs w:val="21"/>
        </w:rPr>
        <w:t>六</w:t>
      </w:r>
      <w:r>
        <w:rPr>
          <w:rFonts w:hint="eastAsia" w:cs="宋体"/>
          <w:b/>
          <w:color w:val="000000"/>
          <w:szCs w:val="21"/>
          <w:lang w:eastAsia="zh-CN"/>
        </w:rPr>
        <w:t>、</w:t>
      </w:r>
      <w:r>
        <w:rPr>
          <w:rFonts w:hint="eastAsia" w:cs="宋体"/>
          <w:b/>
          <w:color w:val="000000"/>
          <w:szCs w:val="21"/>
          <w:lang w:val="en-US" w:eastAsia="zh-CN"/>
        </w:rPr>
        <w:t>案例分析题</w:t>
      </w:r>
      <w:r>
        <w:rPr>
          <w:rFonts w:hint="eastAsia" w:cs="宋体"/>
          <w:b/>
          <w:color w:val="000000"/>
          <w:szCs w:val="21"/>
        </w:rPr>
        <w:t>（本大题</w:t>
      </w:r>
      <w:r>
        <w:rPr>
          <w:rFonts w:hint="eastAsia" w:ascii="宋体" w:hAnsi="宋体"/>
          <w:b/>
          <w:color w:val="000000"/>
          <w:szCs w:val="21"/>
        </w:rPr>
        <w:t>共</w:t>
      </w:r>
      <w:r>
        <w:rPr>
          <w:rFonts w:hint="eastAsia" w:ascii="宋体" w:hAnsi="宋体"/>
          <w:b/>
          <w:color w:val="000000"/>
          <w:szCs w:val="21"/>
          <w:lang w:val="en-US" w:eastAsia="zh-CN"/>
        </w:rPr>
        <w:t>38</w:t>
      </w:r>
      <w:r>
        <w:rPr>
          <w:rFonts w:hint="eastAsia" w:ascii="Calibri" w:hAnsi="Calibri" w:eastAsia="宋体" w:cs="宋体"/>
          <w:b/>
          <w:color w:val="000000"/>
          <w:szCs w:val="21"/>
        </w:rPr>
        <w:t>分</w:t>
      </w:r>
      <w:r>
        <w:rPr>
          <w:rFonts w:hint="eastAsia" w:ascii="Calibri" w:hAnsi="Calibri" w:eastAsia="宋体" w:cs="宋体"/>
          <w:b/>
          <w:color w:val="000000"/>
          <w:szCs w:val="21"/>
          <w:lang w:eastAsia="zh-CN"/>
        </w:rPr>
        <w:t>，</w:t>
      </w:r>
      <w:r>
        <w:rPr>
          <w:rFonts w:hint="eastAsia" w:ascii="Calibri" w:hAnsi="Calibri" w:eastAsia="宋体" w:cs="宋体"/>
          <w:b/>
          <w:color w:val="000000"/>
          <w:szCs w:val="21"/>
          <w:lang w:val="en-US" w:eastAsia="zh-CN"/>
        </w:rPr>
        <w:t>其中第1题12分，第2题14分，第3题12分</w:t>
      </w:r>
      <w:r>
        <w:rPr>
          <w:rFonts w:hint="eastAsia" w:ascii="Calibri" w:hAnsi="Calibri" w:eastAsia="宋体" w:cs="宋体"/>
          <w:b/>
          <w:color w:val="000000"/>
          <w:szCs w:val="21"/>
        </w:rPr>
        <w:t>）</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lang w:val="en-US" w:eastAsia="zh-CN"/>
        </w:rPr>
      </w:pPr>
      <w:r>
        <w:rPr>
          <w:rFonts w:hint="eastAsia" w:ascii="Times New Roman" w:hAnsi="Times New Roman"/>
          <w:b w:val="0"/>
          <w:bCs w:val="0"/>
          <w:color w:val="000000"/>
          <w:kern w:val="2"/>
          <w:sz w:val="21"/>
          <w:szCs w:val="21"/>
          <w:lang w:val="en-US" w:eastAsia="zh-CN"/>
        </w:rPr>
        <w:t>1、</w:t>
      </w:r>
      <w:r>
        <w:rPr>
          <w:rFonts w:hint="default"/>
          <w:b w:val="0"/>
          <w:bCs w:val="0"/>
          <w:lang w:val="en-US" w:eastAsia="zh-CN"/>
        </w:rPr>
        <w:t>（1）违反（1分）。项目合伙人不得对审计客户拟招聘的高级管理人员实施背景调查，否则将因自身利益、密切关系或外在压力对独立性产生不利影响（1分）。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lang w:val="en-US" w:eastAsia="zh-CN"/>
        </w:rPr>
      </w:pPr>
      <w:r>
        <w:rPr>
          <w:rFonts w:hint="default"/>
          <w:b w:val="0"/>
          <w:bCs w:val="0"/>
          <w:lang w:val="en-US" w:eastAsia="zh-CN"/>
        </w:rPr>
        <w:t>（2）违反（1分）。审计项目组成员/审计项目团队成员的主要近亲属（父亲）不得在审计客户中拥有直接经济利益（股票），否则将因自身利益对独立性产生严重不利影响（1分）。</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lang w:val="en-US" w:eastAsia="zh-CN"/>
        </w:rPr>
      </w:pPr>
      <w:r>
        <w:rPr>
          <w:rFonts w:hint="default"/>
          <w:b w:val="0"/>
          <w:bCs w:val="0"/>
          <w:lang w:val="en-US" w:eastAsia="zh-CN"/>
        </w:rPr>
        <w:t>（3）不违反（1分）。因管理层对纳税申报表承担责任，借出人员提供的纳税申报服务，不对独立性产生不利影响。（1分）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lang w:val="en-US" w:eastAsia="zh-CN"/>
        </w:rPr>
      </w:pPr>
      <w:r>
        <w:rPr>
          <w:rFonts w:hint="default"/>
          <w:b w:val="0"/>
          <w:bCs w:val="0"/>
          <w:lang w:val="en-US" w:eastAsia="zh-CN"/>
        </w:rPr>
        <w:t xml:space="preserve">（4）不违反（1分）。B注册会计师的妻子不属于甲公司高级管理人员、能够对甲公司会计记录或财务报表的编制产生重大影响的员工，该家庭关系不会对独立性产生不利影响（1分）。  </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lang w:val="en-US" w:eastAsia="zh-CN"/>
        </w:rPr>
      </w:pPr>
      <w:r>
        <w:rPr>
          <w:rFonts w:hint="default"/>
          <w:b w:val="0"/>
          <w:bCs w:val="0"/>
          <w:lang w:val="en-US" w:eastAsia="zh-CN"/>
        </w:rPr>
        <w:t>（5）违反（1分）。A注册会计师为对甲公司财务报表具有重大影响的诉讼纠纷担任辩护人，将因过度推介或自我评价对独立性产生非常严重的不利影响（1分）。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b w:val="0"/>
          <w:bCs w:val="0"/>
          <w:color w:val="auto"/>
          <w:lang w:val="en-US" w:eastAsia="zh-CN"/>
        </w:rPr>
      </w:pPr>
      <w:r>
        <w:rPr>
          <w:rFonts w:hint="default"/>
          <w:b w:val="0"/>
          <w:bCs w:val="0"/>
          <w:lang w:val="en-US" w:eastAsia="zh-CN"/>
        </w:rPr>
        <w:t>（6）违反（1分）。会计师事务所向甲公司支付业务介绍费，将因自身利益对客观公正原则以及专业胜任能力和勤勉尽责原则产生非常严重的不利影响（1分）。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b w:val="0"/>
          <w:bCs w:val="0"/>
          <w:color w:val="000000"/>
          <w:kern w:val="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ascii="宋体" w:hAnsi="宋体" w:eastAsia="宋体" w:cs="宋体"/>
          <w:b w:val="0"/>
          <w:bCs w:val="0"/>
          <w:lang w:val="en-US" w:eastAsia="zh-CN"/>
        </w:rPr>
      </w:pPr>
      <w:r>
        <w:rPr>
          <w:rFonts w:hint="eastAsia" w:ascii="Times New Roman" w:hAnsi="Times New Roman"/>
          <w:b/>
          <w:bCs/>
          <w:color w:val="000000"/>
          <w:kern w:val="2"/>
          <w:sz w:val="21"/>
          <w:szCs w:val="21"/>
          <w:lang w:val="en-US" w:eastAsia="zh-CN"/>
        </w:rPr>
        <w:t>2、</w:t>
      </w:r>
      <w:r>
        <w:rPr>
          <w:rFonts w:hint="eastAsia" w:ascii="宋体" w:hAnsi="宋体" w:eastAsia="宋体" w:cs="宋体"/>
          <w:b w:val="0"/>
          <w:bCs w:val="0"/>
          <w:lang w:val="en-US" w:eastAsia="zh-CN"/>
        </w:rPr>
        <w:t>事项(1)不存在不当之处。（2分）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事项(2)存在不当之处。在甲公司开始盘点存货前，监盘人员不应当在拟检查的存货项目上作出标识，注册会计师检查的范围不应该让被审计单位知道。（2分）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事项(3)存在不当之处。注册会计师应当对标准规格包装箱包装的存货进行开箱查验。以防止内装存货弄虚作假。（2分）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事项(4)不存在不当之处。（2分）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事项(5)存在不当之处。存货监盘的时间定在12月31日，所以对存货监盘过程中收到的存货，需要纳入存货监盘的范围。（2分）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事项(6)存在不当之处。注册会计师应当将所有盘点表单的号码记录于监盘工作底稿，包括作废的盘点表单。（2分）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color w:val="auto"/>
          <w:lang w:val="en-US" w:eastAsia="zh-CN"/>
        </w:rPr>
      </w:pPr>
      <w:r>
        <w:rPr>
          <w:rFonts w:hint="eastAsia" w:ascii="宋体" w:hAnsi="宋体" w:eastAsia="宋体" w:cs="宋体"/>
          <w:b w:val="0"/>
          <w:bCs w:val="0"/>
          <w:lang w:val="en-US" w:eastAsia="zh-CN"/>
        </w:rPr>
        <w:t>（2）注册会计师应当考虑改变存货监盘日期，对预定盘点日与改变后的存货监盘日之间发生的交易进行测试。（2分）</w:t>
      </w:r>
    </w:p>
    <w:p>
      <w:pPr>
        <w:numPr>
          <w:ilvl w:val="0"/>
          <w:numId w:val="0"/>
        </w:numPr>
        <w:snapToGrid w:val="0"/>
        <w:spacing w:line="400" w:lineRule="atLeast"/>
        <w:jc w:val="both"/>
        <w:rPr>
          <w:rFonts w:hint="eastAsia" w:ascii="宋体" w:hAnsi="宋体" w:cs="宋体"/>
          <w:color w:val="0070C0"/>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sz w:val="21"/>
          <w:szCs w:val="21"/>
          <w:lang w:val="en-US" w:eastAsia="zh-CN"/>
        </w:rPr>
      </w:pPr>
      <w:r>
        <w:rPr>
          <w:rFonts w:hint="eastAsia" w:ascii="Times New Roman" w:hAnsi="Times New Roman"/>
          <w:b w:val="0"/>
          <w:bCs w:val="0"/>
          <w:color w:val="000000"/>
          <w:kern w:val="2"/>
          <w:sz w:val="21"/>
          <w:szCs w:val="21"/>
          <w:lang w:val="en-US" w:eastAsia="zh-CN"/>
        </w:rPr>
        <w:t>3、</w:t>
      </w:r>
      <w:r>
        <w:rPr>
          <w:rFonts w:hint="eastAsia"/>
          <w:b w:val="0"/>
          <w:bCs w:val="0"/>
          <w:sz w:val="21"/>
          <w:szCs w:val="21"/>
          <w:lang w:val="en-US" w:eastAsia="zh-CN"/>
        </w:rPr>
        <w:t>（1）第3种情况需要调整，分录：（3分）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借：管理费用        110000</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 xml:space="preserve">   贷：累计折旧       110000</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（2）第（1）种情况，应出具标准无保留意见的审计报告。因为审计范围受限制很小。（3分）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第（2）种情况，应出具无法表示意见的审计报告。因为审计范围受到重大限制。（3分）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b w:val="0"/>
          <w:bCs w:val="0"/>
          <w:sz w:val="21"/>
          <w:szCs w:val="21"/>
          <w:lang w:val="en-US" w:eastAsia="zh-CN"/>
        </w:rPr>
        <w:t>第（3）种情况，应出具保留意见的审计报告。因为，公司当年应提设备折旧11万元，重要但还不至于导致注册会计师发表否定意见。（3分）</w:t>
      </w:r>
      <w:r>
        <w:rPr>
          <w:rFonts w:hint="eastAsia" w:ascii="宋体" w:hAnsi="宋体"/>
          <w:u w:val="none"/>
          <w:lang w:val="en-US" w:eastAsia="zh-CN"/>
        </w:rPr>
        <w:t xml:space="preserve"> </w:t>
      </w:r>
      <w:r>
        <w:rPr>
          <w:rFonts w:hint="eastAsia" w:ascii="宋体" w:hAnsi="宋体" w:eastAsia="宋体" w:cs="宋体"/>
          <w:lang w:val="en-US" w:eastAsia="zh-CN"/>
        </w:rPr>
        <w:t xml:space="preserve"> </w:t>
      </w:r>
    </w:p>
    <w:p>
      <w:pPr>
        <w:numPr>
          <w:numId w:val="0"/>
        </w:numPr>
      </w:pPr>
      <w:r>
        <w:rPr>
          <w:rFonts w:hint="eastAsia" w:ascii="宋体" w:hAnsi="宋体"/>
          <w:color w:val="000000"/>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2AC827"/>
    <w:multiLevelType w:val="singleLevel"/>
    <w:tmpl w:val="C42AC827"/>
    <w:lvl w:ilvl="0" w:tentative="0">
      <w:start w:val="5"/>
      <w:numFmt w:val="decimal"/>
      <w:lvlText w:val="%1."/>
      <w:lvlJc w:val="left"/>
      <w:pPr>
        <w:tabs>
          <w:tab w:val="left" w:pos="312"/>
        </w:tabs>
      </w:pPr>
    </w:lvl>
  </w:abstractNum>
  <w:abstractNum w:abstractNumId="1">
    <w:nsid w:val="1E85DF8D"/>
    <w:multiLevelType w:val="singleLevel"/>
    <w:tmpl w:val="1E85DF8D"/>
    <w:lvl w:ilvl="0" w:tentative="0">
      <w:start w:val="2"/>
      <w:numFmt w:val="chineseCounting"/>
      <w:suff w:val="nothing"/>
      <w:lvlText w:val="%1、"/>
      <w:lvlJc w:val="left"/>
      <w:rPr>
        <w:rFonts w:hint="eastAsia"/>
      </w:rPr>
    </w:lvl>
  </w:abstractNum>
  <w:abstractNum w:abstractNumId="2">
    <w:nsid w:val="27D715B6"/>
    <w:multiLevelType w:val="singleLevel"/>
    <w:tmpl w:val="27D715B6"/>
    <w:lvl w:ilvl="0" w:tentative="0">
      <w:start w:val="1"/>
      <w:numFmt w:val="decimal"/>
      <w:suff w:val="nothing"/>
      <w:lvlText w:val="%1、"/>
      <w:lvlJc w:val="left"/>
    </w:lvl>
  </w:abstractNum>
  <w:abstractNum w:abstractNumId="3">
    <w:nsid w:val="43F64A96"/>
    <w:multiLevelType w:val="singleLevel"/>
    <w:tmpl w:val="43F64A96"/>
    <w:lvl w:ilvl="0" w:tentative="0">
      <w:start w:val="5"/>
      <w:numFmt w:val="chineseCounting"/>
      <w:suff w:val="nothing"/>
      <w:lvlText w:val="%1、"/>
      <w:lvlJc w:val="left"/>
      <w:rPr>
        <w:rFonts w:hint="eastAsia"/>
      </w:rPr>
    </w:lvl>
  </w:abstractNum>
  <w:abstractNum w:abstractNumId="4">
    <w:nsid w:val="562D287D"/>
    <w:multiLevelType w:val="singleLevel"/>
    <w:tmpl w:val="562D287D"/>
    <w:lvl w:ilvl="0" w:tentative="0">
      <w:start w:val="1"/>
      <w:numFmt w:val="decimalEnclosedCircleChinese"/>
      <w:suff w:val="nothing"/>
      <w:lvlText w:val="%1　"/>
      <w:lvlJc w:val="left"/>
      <w:pPr>
        <w:ind w:left="0" w:firstLine="400"/>
      </w:pPr>
      <w:rPr>
        <w:rFonts w:hint="eastAsia"/>
      </w:rPr>
    </w:lvl>
  </w:abstractNum>
  <w:abstractNum w:abstractNumId="5">
    <w:nsid w:val="5B543CFC"/>
    <w:multiLevelType w:val="singleLevel"/>
    <w:tmpl w:val="5B543CFC"/>
    <w:lvl w:ilvl="0" w:tentative="0">
      <w:start w:val="1"/>
      <w:numFmt w:val="decimal"/>
      <w:suff w:val="nothing"/>
      <w:lvlText w:val="（%1）"/>
      <w:lvlJc w:val="left"/>
      <w:pPr>
        <w:ind w:left="315" w:firstLine="0"/>
      </w:pPr>
    </w:lvl>
  </w:abstractNum>
  <w:abstractNum w:abstractNumId="6">
    <w:nsid w:val="6913147A"/>
    <w:multiLevelType w:val="singleLevel"/>
    <w:tmpl w:val="6913147A"/>
    <w:lvl w:ilvl="0" w:tentative="0">
      <w:start w:val="1"/>
      <w:numFmt w:val="upperLetter"/>
      <w:suff w:val="space"/>
      <w:lvlText w:val="%1."/>
      <w:lvlJc w:val="left"/>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52D82064"/>
    <w:rsid w:val="55BF5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2024-07-27T07:52:26Z</dcterms:created>
  <dc:creator>liche</dc:creator>
  <cp:lastModifiedBy>敖艳</cp:lastModifiedBy>
  <dcterms:modified xsi:type="dcterms:W3CDTF">2024-07-27T08:00:49Z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ECE85A20042E40B68BBBE6E3FC14FFE7_12</vt:lpwstr>
  </property>
</Properties>
</file>